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complementair instrumentaal deel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Samenspel 2015-032</w:t>
        <w:br/>
        <w:t>Leerplan GO 2015/033</w:t>
        <w:br/>
        <w:t>Leerplan GO 2015/034</w:t>
        <w:br/>
        <w:t>Leerplan GO 2016/017</w:t>
        <w:br/>
        <w:t>Leerplan GO 2016/018</w:t>
        <w:br/>
        <w:t>Leerplan GO 2014/024</w:t>
        <w:br/>
        <w:t>Raamleerplan OVSG - mei 2011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over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Voor het onderdeel 'instrumentaal ensemble' heb je al diverse technieken onder de knie. Samen musiceren en als individu actief geïntegreerd worden in het actief in groep musiceren vormt geen probleem. Je mag de waarde van je eigen inbreng behouden zodat je weet wanneer je rol belangrijk is of wanneer je medespelers belangrijker zijn bij muzikale passages.</w:t>
        <w:br/>
        <w:t xml:space="preserve"/>
        <w:br/>
        <w:t xml:space="preserve"/>
        <w:br/>
        <w:t xml:space="preserve">Voor het onderdeel 'neveninstrument' kan je met een ander instrument (dan het instrument van het vak 'instrumentale specialisatie') een elementaire prestatie verwezenlijken. Je laat de bereidheid en het talent zien dat de muziek die je uitvoert ruimer is dan enkel jouw eigen hoofdinstrument.</w:t>
        <w:br/>
        <w:t xml:space="preserve"/>
        <w:br/>
        <w:t xml:space="preserve"/>
        <w:br/>
        <w:t xml:space="preserve">Voor het onderdeel 'praktische harmonie' kan je met het vereiste inzicht en vaardigheden een melodie begeleiden met elementaire akkoorden.</w:t>
        <w:br/>
        <w:t xml:space="preserve"/>
        <w:br/>
        <w:t xml:space="preserve"/>
        <w:br/>
        <w:t xml:space="preserve">De einddoelstelling van dit diploma is om voldoende bagage mee te geven om de leerstof verder te kunnen verfijnen en om aan zelfstandig onderzoek te doen. Deze attitude, de verzelfstandiging van het artistieke leerproces, dient om je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 voor het hoofd- en neveninstrument bij instrumentaal ensemble en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 voor het hoofdinstrument bij het vak 'instrumentaal ensemble'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'praktische harmonie'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 voor het hoofd- en neveninstrument bij instrumentaal ensemble en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houding en ademhaling</w:t>
            </w:r>
          </w:p>
          <w:p>
            <w:pPr>
              <w:pStyle w:val="ListParagraph"/>
              <w:numPr>
                <w:ilvl w:val="0"/>
                <w:numId w:val="8"/>
              </w:numPr>
            </w:pPr>
            <w:r>
              <w:rPr/>
              <w:t xml:space="preserve">speeltechnieken</w:t>
            </w:r>
          </w:p>
          <w:p>
            <w:pPr>
              <w:pStyle w:val="ListParagraph"/>
              <w:numPr>
                <w:ilvl w:val="0"/>
                <w:numId w:val="8"/>
              </w:numPr>
            </w:pPr>
            <w:r>
              <w:rPr/>
              <w:t xml:space="preserve">kennis van het instrument (bouw, mogelijkheden, sonoriteit, …)</w:t>
            </w:r>
          </w:p>
          <w:p>
            <w:pPr>
              <w:pStyle w:val="ListParagraph"/>
              <w:numPr>
                <w:ilvl w:val="0"/>
                <w:numId w:val="8"/>
              </w:numPr>
            </w:pPr>
            <w:r>
              <w:rPr/>
              <w:t xml:space="preserve">motorische vaardigheden</w:t>
            </w:r>
          </w:p>
          <w:p>
            <w:pPr>
              <w:pStyle w:val="ListParagraph"/>
              <w:numPr>
                <w:ilvl w:val="0"/>
                <w:numId w:val="8"/>
              </w:numPr>
            </w:pPr>
            <w:r>
              <w:rPr/>
              <w:t xml:space="preserve">uithouding</w:t>
            </w:r>
          </w:p>
          <w:p>
            <w:pPr>
              <w:pStyle w:val="ListParagraph"/>
              <w:numPr>
                <w:ilvl w:val="0"/>
                <w:numId w:val="8"/>
              </w:numPr>
            </w:pPr>
            <w:r>
              <w:rPr/>
              <w:t xml:space="preserve">motoriek en ritme</w:t>
            </w:r>
          </w:p>
          <w:p>
            <w:pPr>
              <w:pStyle w:val="ListParagraph"/>
              <w:numPr>
                <w:ilvl w:val="0"/>
                <w:numId w:val="8"/>
              </w:numPr>
            </w:pPr>
            <w:r>
              <w:rPr/>
              <w:t xml:space="preserve">leesvaardigheid</w:t>
            </w:r>
          </w:p>
          <w:p>
            <w:pPr>
              <w:pStyle w:val="ListParagraph"/>
              <w:numPr>
                <w:ilvl w:val="0"/>
                <w:numId w:val="8"/>
              </w:numPr>
            </w:pPr>
            <w:r>
              <w:rPr/>
              <w:t xml:space="preserve">ontwikkeling van het inwendig voorstellingsvermogen in functie van het musiceren</w:t>
            </w:r>
          </w:p>
          <w:p>
            <w:pPr>
              <w:pStyle w:val="ListParagraph"/>
              <w:numPr>
                <w:ilvl w:val="0"/>
                <w:numId w:val="8"/>
              </w:numPr>
            </w:pPr>
            <w:r>
              <w:rPr/>
              <w:t xml:space="preserve"> toonvorming en intonatie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voor een betere beheersing op verdiepend niveau van het instrument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inzicht op gebied van analyse</w:t>
            </w:r>
          </w:p>
          <w:p>
            <w:pPr>
              <w:pStyle w:val="ListParagraph"/>
              <w:numPr>
                <w:ilvl w:val="0"/>
                <w:numId w:val="9"/>
              </w:numPr>
            </w:pPr>
            <w:r>
              <w:rPr/>
              <w:t xml:space="preserve">metrische nauwkeurigheid</w:t>
            </w:r>
          </w:p>
          <w:p>
            <w:pPr>
              <w:pStyle w:val="ListParagraph"/>
              <w:numPr>
                <w:ilvl w:val="0"/>
                <w:numId w:val="9"/>
              </w:numPr>
            </w:pPr>
            <w:r>
              <w:rPr/>
              <w:t xml:space="preserve">klank</w:t>
            </w:r>
          </w:p>
          <w:p>
            <w:pPr>
              <w:pStyle w:val="ListParagraph"/>
              <w:numPr>
                <w:ilvl w:val="0"/>
                <w:numId w:val="9"/>
              </w:numPr>
            </w:pPr>
            <w:r>
              <w:rPr/>
              <w:t xml:space="preserve">frasering</w:t>
            </w:r>
          </w:p>
          <w:p>
            <w:pPr>
              <w:pStyle w:val="ListParagraph"/>
              <w:numPr>
                <w:ilvl w:val="0"/>
                <w:numId w:val="9"/>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 voor het hoofdinstrument bij het vak 'instrumentaal ensemble'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in de technische vooruitgang</w:t>
            </w:r>
          </w:p>
          <w:p>
            <w:pPr>
              <w:pStyle w:val="ListParagraph"/>
              <w:numPr>
                <w:ilvl w:val="0"/>
                <w:numId w:val="10"/>
              </w:numPr>
            </w:pPr>
            <w:r>
              <w:rPr/>
              <w:t xml:space="preserve">in de muzikale evolutie/verscheidenheid van stijlen </w:t>
            </w:r>
          </w:p>
          <w:p>
            <w:pPr>
              <w:pStyle w:val="ListParagraph"/>
              <w:numPr>
                <w:ilvl w:val="0"/>
                <w:numId w:val="10"/>
              </w:numPr>
            </w:pPr>
            <w:r>
              <w:rPr/>
              <w:t xml:space="preserve">in de bevattelijkheid en toepasbaarheid van het repertoire</w:t>
            </w:r>
          </w:p>
          <w:p>
            <w:r>
              <w:rPr/>
              <w:t xml:space="preserve"> </w:t>
              <w:br/>
              <w:t xml:space="preserve"/>
              <w:b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w:t>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1"/>
              </w:numPr>
            </w:pPr>
            <w:r>
              <w:rPr/>
              <w:t xml:space="preserve">toonaanzet met 't’ en 'd’</w:t>
            </w:r>
          </w:p>
          <w:p>
            <w:pPr>
              <w:pStyle w:val="ListParagraph"/>
              <w:numPr>
                <w:ilvl w:val="0"/>
                <w:numId w:val="11"/>
              </w:numPr>
            </w:pPr>
            <w:r>
              <w:rPr/>
              <w:t xml:space="preserve">aangehouden tonen</w:t>
            </w:r>
          </w:p>
          <w:p>
            <w:pPr>
              <w:pStyle w:val="ListParagraph"/>
              <w:numPr>
                <w:ilvl w:val="0"/>
                <w:numId w:val="11"/>
              </w:numPr>
            </w:pPr>
            <w:r>
              <w:rPr/>
              <w:t xml:space="preserve">lage klanken</w:t>
            </w:r>
          </w:p>
          <w:p>
            <w:pPr>
              <w:pStyle w:val="ListParagraph"/>
              <w:numPr>
                <w:ilvl w:val="0"/>
                <w:numId w:val="11"/>
              </w:numPr>
            </w:pPr>
            <w:r>
              <w:rPr/>
              <w:t xml:space="preserve">articulatie (portato, legato, staccato, accenten)</w:t>
            </w:r>
          </w:p>
          <w:p>
            <w:pPr>
              <w:pStyle w:val="ListParagraph"/>
              <w:numPr>
                <w:ilvl w:val="0"/>
                <w:numId w:val="11"/>
              </w:numPr>
            </w:pPr>
            <w:r>
              <w:rPr/>
              <w:t xml:space="preserve">lipbindingen</w:t>
            </w:r>
          </w:p>
          <w:p>
            <w:pPr>
              <w:pStyle w:val="ListParagraph"/>
              <w:numPr>
                <w:ilvl w:val="0"/>
                <w:numId w:val="11"/>
              </w:numPr>
            </w:pPr>
            <w:r>
              <w:rPr/>
              <w:t xml:space="preserve">toonreeksen en akkoorden</w:t>
            </w:r>
          </w:p>
          <w:p>
            <w:pPr>
              <w:pStyle w:val="ListParagraph"/>
              <w:numPr>
                <w:ilvl w:val="0"/>
                <w:numId w:val="11"/>
              </w:numPr>
            </w:pPr>
            <w:r>
              <w:rPr/>
              <w:t xml:space="preserve">(grotere) intervallen</w:t>
            </w:r>
          </w:p>
          <w:p>
            <w:pPr>
              <w:pStyle w:val="ListParagraph"/>
              <w:numPr>
                <w:ilvl w:val="0"/>
                <w:numId w:val="11"/>
              </w:numPr>
            </w:pPr>
            <w:r>
              <w:rPr/>
              <w:t xml:space="preserve">forte en piano</w:t>
            </w:r>
          </w:p>
          <w:p>
            <w:pPr>
              <w:pStyle w:val="ListParagraph"/>
              <w:numPr>
                <w:ilvl w:val="0"/>
                <w:numId w:val="11"/>
              </w:numPr>
            </w:pPr>
            <w:r>
              <w:rPr/>
              <w:t xml:space="preserve">mogelijkheden tessituur (genoteerd)</w:t>
            </w:r>
          </w:p>
          <w:p>
            <w:pPr>
              <w:pStyle w:val="ListParagraph"/>
              <w:numPr>
                <w:ilvl w:val="0"/>
                <w:numId w:val="11"/>
              </w:numPr>
            </w:pPr>
            <w:r>
              <w:rPr/>
              <w:t xml:space="preserve">differentiatie in de articulatie</w:t>
            </w:r>
          </w:p>
          <w:p>
            <w:pPr>
              <w:pStyle w:val="ListParagraph"/>
              <w:numPr>
                <w:ilvl w:val="0"/>
                <w:numId w:val="11"/>
              </w:numPr>
            </w:pPr>
            <w:r>
              <w:rPr/>
              <w:t xml:space="preserve">beginselen van binaire en ternaire tongslag</w:t>
            </w:r>
          </w:p>
          <w:p>
            <w:pPr>
              <w:pStyle w:val="ListParagraph"/>
              <w:numPr>
                <w:ilvl w:val="0"/>
                <w:numId w:val="11"/>
              </w:numPr>
            </w:pPr>
            <w:r>
              <w:rPr/>
              <w:t xml:space="preserve">dynamische schakeringen, crescendo, diminuendo</w:t>
            </w:r>
          </w:p>
          <w:p>
            <w:pPr>
              <w:pStyle w:val="ListParagraph"/>
              <w:numPr>
                <w:ilvl w:val="0"/>
                <w:numId w:val="11"/>
              </w:numPr>
            </w:pPr>
            <w:r>
              <w:rPr/>
              <w:t xml:space="preserve">differentiatie van de klankkleur</w:t>
            </w:r>
          </w:p>
          <w:p>
            <w:pPr>
              <w:pStyle w:val="ListParagraph"/>
              <w:numPr>
                <w:ilvl w:val="0"/>
                <w:numId w:val="11"/>
              </w:numPr>
            </w:pPr>
            <w:r>
              <w:rPr/>
              <w:t xml:space="preserve">opdrijven van de snelheid</w:t>
            </w:r>
          </w:p>
          <w:p>
            <w:pPr>
              <w:pStyle w:val="ListParagraph"/>
              <w:numPr>
                <w:ilvl w:val="0"/>
                <w:numId w:val="11"/>
              </w:numPr>
            </w:pPr>
            <w:r>
              <w:rPr/>
              <w:t xml:space="preserve">alle versieringen </w:t>
            </w:r>
          </w:p>
          <w:p>
            <w:pPr>
              <w:pStyle w:val="ListParagraph"/>
              <w:numPr>
                <w:ilvl w:val="0"/>
                <w:numId w:val="11"/>
              </w:numPr>
            </w:pPr>
            <w:r>
              <w:rPr/>
              <w:t xml:space="preserve">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en toonvorming toepassen:</w:t>
            </w:r>
          </w:p>
          <w:p>
            <w:pPr>
              <w:pStyle w:val="ListParagraph"/>
              <w:numPr>
                <w:ilvl w:val="0"/>
                <w:numId w:val="15"/>
              </w:numPr>
            </w:pPr>
            <w:r>
              <w:rPr/>
              <w:t xml:space="preserve">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stemmen</w:t>
            </w:r>
          </w:p>
          <w:p>
            <w:pPr>
              <w:pStyle w:val="ListParagraph"/>
              <w:numPr>
                <w:ilvl w:val="0"/>
                <w:numId w:val="16"/>
              </w:numPr>
            </w:pPr>
            <w:r>
              <w:rPr/>
              <w:t xml:space="preserve">intonatie</w:t>
            </w:r>
          </w:p>
          <w:p>
            <w:pPr>
              <w:pStyle w:val="ListParagraph"/>
              <w:numPr>
                <w:ilvl w:val="0"/>
                <w:numId w:val="16"/>
              </w:numPr>
            </w:pPr>
            <w:r>
              <w:rPr/>
              <w:t xml:space="preserve">genres en stijlen</w:t>
            </w:r>
          </w:p>
          <w:p>
            <w:pPr>
              <w:pStyle w:val="ListParagraph"/>
              <w:numPr>
                <w:ilvl w:val="0"/>
                <w:numId w:val="16"/>
              </w:numPr>
            </w:pPr>
            <w:r>
              <w:rPr/>
              <w:t xml:space="preserve">klank- en kleurdifferentiatie</w:t>
            </w:r>
          </w:p>
          <w:p>
            <w:pPr>
              <w:pStyle w:val="ListParagraph"/>
              <w:numPr>
                <w:ilvl w:val="0"/>
                <w:numId w:val="16"/>
              </w:numPr>
            </w:pPr>
            <w:r>
              <w:rPr/>
              <w:t xml:space="preserve">sfeer</w:t>
            </w:r>
          </w:p>
          <w:p>
            <w:pPr>
              <w:pStyle w:val="ListParagraph"/>
              <w:numPr>
                <w:ilvl w:val="0"/>
                <w:numId w:val="16"/>
              </w:numPr>
            </w:pPr>
            <w:r>
              <w:rPr/>
              <w:t xml:space="preserve">karakter</w:t>
            </w:r>
          </w:p>
          <w:p>
            <w:pPr>
              <w:pStyle w:val="ListParagraph"/>
              <w:numPr>
                <w:ilvl w:val="0"/>
                <w:numId w:val="16"/>
              </w:numPr>
            </w:pPr>
            <w:r>
              <w:rPr/>
              <w:t xml:space="preserve">tempo</w:t>
            </w:r>
          </w:p>
          <w:p>
            <w:pPr>
              <w:pStyle w:val="ListParagraph"/>
              <w:numPr>
                <w:ilvl w:val="0"/>
                <w:numId w:val="16"/>
              </w:numPr>
            </w:pPr>
            <w:r>
              <w:rPr/>
              <w:t xml:space="preserve">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
              <w:br/>
              <w:t xml:space="preserve">basistechnieken, stijlkennis, verruiming, artistieke rijping en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(met maatwisselingen),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 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 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castagnetten en tamboerijn: enkelslagen (met accenten en antimetrische figuren), roffels (met antimetrische figuren en accenten)</w:t>
            </w:r>
          </w:p>
          <w:p>
            <w:pPr>
              <w:pStyle w:val="ListParagraph"/>
              <w:numPr>
                <w:ilvl w:val="0"/>
                <w:numId w:val="17"/>
              </w:numPr>
            </w:pPr>
            <w:r>
              <w:rPr/>
              <w:t xml:space="preserve"> 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stemmen</w:t>
            </w:r>
          </w:p>
          <w:p>
            <w:pPr>
              <w:pStyle w:val="ListParagraph"/>
              <w:numPr>
                <w:ilvl w:val="0"/>
                <w:numId w:val="20"/>
              </w:numPr>
            </w:pPr>
            <w:r>
              <w:rPr/>
              <w:t xml:space="preserve">intonatie</w:t>
            </w:r>
          </w:p>
          <w:p>
            <w:pPr>
              <w:pStyle w:val="ListParagraph"/>
              <w:numPr>
                <w:ilvl w:val="0"/>
                <w:numId w:val="20"/>
              </w:numPr>
            </w:pPr>
            <w:r>
              <w:rPr/>
              <w:t xml:space="preserve">genres en stijlen</w:t>
            </w:r>
          </w:p>
          <w:p>
            <w:pPr>
              <w:pStyle w:val="ListParagraph"/>
              <w:numPr>
                <w:ilvl w:val="0"/>
                <w:numId w:val="20"/>
              </w:numPr>
            </w:pPr>
            <w:r>
              <w:rPr/>
              <w:t xml:space="preserve">klank- en kleurdifferentiatie</w:t>
            </w:r>
          </w:p>
          <w:p>
            <w:pPr>
              <w:pStyle w:val="ListParagraph"/>
              <w:numPr>
                <w:ilvl w:val="0"/>
                <w:numId w:val="20"/>
              </w:numPr>
            </w:pPr>
            <w:r>
              <w:rPr/>
              <w:t xml:space="preserve">sfeer</w:t>
            </w:r>
          </w:p>
          <w:p>
            <w:pPr>
              <w:pStyle w:val="ListParagraph"/>
              <w:numPr>
                <w:ilvl w:val="0"/>
                <w:numId w:val="20"/>
              </w:numPr>
            </w:pPr>
            <w:r>
              <w:rPr/>
              <w:t xml:space="preserve">karakter</w:t>
            </w:r>
          </w:p>
          <w:p>
            <w:pPr>
              <w:pStyle w:val="ListParagraph"/>
              <w:numPr>
                <w:ilvl w:val="0"/>
                <w:numId w:val="20"/>
              </w:numPr>
            </w:pPr>
            <w:r>
              <w:rPr/>
              <w:t xml:space="preserve">tempo</w:t>
            </w:r>
          </w:p>
          <w:p>
            <w:pPr>
              <w:pStyle w:val="ListParagraph"/>
              <w:numPr>
                <w:ilvl w:val="0"/>
                <w:numId w:val="20"/>
              </w:numPr>
            </w:pPr>
            <w:r>
              <w:rPr/>
              <w:t xml:space="preserve">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EXPERIMENTELE MUZIEK:</w:t>
            </w:r>
            <w:r>
              <w:rPr/>
              <w:t xml:space="preserve"/>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ontwikkelen:</w:t>
            </w:r>
          </w:p>
          <w:p>
            <w:pPr>
              <w:pStyle w:val="ListParagraph"/>
              <w:numPr>
                <w:ilvl w:val="0"/>
                <w:numId w:val="21"/>
              </w:numPr>
            </w:pPr>
            <w:r>
              <w:rPr/>
              <w:t xml:space="preserve">geluidsleer: begrippen akoestiek, klankperceptie</w:t>
            </w:r>
          </w:p>
          <w:p>
            <w:pPr>
              <w:pStyle w:val="ListParagraph"/>
              <w:numPr>
                <w:ilvl w:val="0"/>
                <w:numId w:val="21"/>
              </w:numPr>
            </w:pPr>
            <w:r>
              <w:rPr/>
              <w:t xml:space="preserve">ruimtelijke akoestiek</w:t>
            </w:r>
          </w:p>
          <w:p>
            <w:pPr>
              <w:pStyle w:val="ListParagraph"/>
              <w:numPr>
                <w:ilvl w:val="0"/>
                <w:numId w:val="21"/>
              </w:numPr>
            </w:pPr>
            <w:r>
              <w:rPr/>
              <w:t xml:space="preserve">klankobject</w:t>
            </w:r>
          </w:p>
          <w:p>
            <w:pPr>
              <w:pStyle w:val="ListParagraph"/>
              <w:numPr>
                <w:ilvl w:val="0"/>
                <w:numId w:val="21"/>
              </w:numPr>
            </w:pPr>
            <w:r>
              <w:rPr/>
              <w:t xml:space="preserve">kennis van conventionele instrumenten (technieken, articulatiemogelijkheden, gevisualiseerde opname, elektronische manipulatie)</w:t>
            </w:r>
          </w:p>
          <w:p>
            <w:pPr>
              <w:pStyle w:val="ListParagraph"/>
              <w:numPr>
                <w:ilvl w:val="0"/>
                <w:numId w:val="21"/>
              </w:numPr>
            </w:pPr>
            <w:r>
              <w:rPr/>
              <w:t xml:space="preserve">stem en lichaam (bijvoorbeeld percussie)</w:t>
            </w:r>
          </w:p>
          <w:p>
            <w:pPr>
              <w:pStyle w:val="ListParagraph"/>
              <w:numPr>
                <w:ilvl w:val="0"/>
                <w:numId w:val="21"/>
              </w:numPr>
            </w:pPr>
            <w:r>
              <w:rPr/>
              <w:t xml:space="preserve">klankeigenschappen 'gevonden voorwerpen’</w:t>
            </w:r>
          </w:p>
          <w:p>
            <w:pPr>
              <w:pStyle w:val="ListParagraph"/>
              <w:numPr>
                <w:ilvl w:val="0"/>
                <w:numId w:val="21"/>
              </w:numPr>
            </w:pPr>
            <w:r>
              <w:rPr/>
              <w:t xml:space="preserve">elektronisch opgewerkte klanken</w:t>
            </w:r>
          </w:p>
          <w:p>
            <w:pPr>
              <w:pStyle w:val="ListParagraph"/>
              <w:numPr>
                <w:ilvl w:val="0"/>
                <w:numId w:val="21"/>
              </w:numPr>
            </w:pPr>
            <w:r>
              <w:rPr/>
              <w:t xml:space="preserve">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 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 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uitvoeren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 </w:t>
            </w:r>
            <w:r>
              <w:rPr/>
              <w:t xml:space="preserve">(nu: dwarsfluit):</w:t>
              <w:br/>
              <w:t xml:space="preserve">basistechnieken, inzicht esthetiek en stijlen, podiumattitude,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br/>
              <w:t xml:space="preserve"/>
              <w:br/>
              <w:t xml:space="preserve"/>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t>
              <w:br/>
              <w:t xml:space="preserve"/>
              <w:br/>
              <w:t xml:space="preserve">muzikaliteit en repertoire (stemmen, intonatie, genres en stijlen, klank- en kleurdifferentiatie, sfeer, karakter, tempo, persoonlijk repertoire van uiteenlopende moeilijkheidsgraad,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podiumhouding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 in groepsverband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r>
          </w:p>
          <w:p>
            <w:pPr>
              <w:pStyle w:val="ListParagraph"/>
              <w:numPr>
                <w:ilvl w:val="0"/>
                <w:numId w:val="31"/>
              </w:numPr>
            </w:pPr>
            <w:r>
              <w:rPr/>
              <w:t xml:space="preserve"> in de technische vooruitgang</w:t>
            </w:r>
          </w:p>
          <w:p>
            <w:pPr>
              <w:pStyle w:val="ListParagraph"/>
              <w:numPr>
                <w:ilvl w:val="0"/>
                <w:numId w:val="31"/>
              </w:numPr>
            </w:pPr>
            <w:r>
              <w:rPr/>
              <w:t xml:space="preserve"> in de muzikale evolutie/verscheidenheid van stijlen</w:t>
            </w:r>
          </w:p>
          <w:p>
            <w:pPr>
              <w:pStyle w:val="ListParagraph"/>
              <w:numPr>
                <w:ilvl w:val="0"/>
                <w:numId w:val="31"/>
              </w:numPr>
            </w:pPr>
            <w:r>
              <w:rPr/>
              <w:t xml:space="preserve"> in de bevattelijkheid en toepasbaarheid van het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luistervaardigheid inzake intonatie, balans en opstelling toepassen:</w:t>
            </w:r>
          </w:p>
          <w:p>
            <w:pPr>
              <w:pStyle w:val="ListParagraph"/>
              <w:numPr>
                <w:ilvl w:val="0"/>
                <w:numId w:val="32"/>
              </w:numPr>
            </w:pPr>
            <w:r>
              <w:rPr/>
              <w:t xml:space="preserve"> onderlinge stemming</w:t>
            </w:r>
          </w:p>
          <w:p>
            <w:pPr>
              <w:pStyle w:val="ListParagraph"/>
              <w:numPr>
                <w:ilvl w:val="0"/>
                <w:numId w:val="32"/>
              </w:numPr>
            </w:pPr>
            <w:r>
              <w:rPr/>
              <w:t xml:space="preserve"> groepsgerichte aanpassing van de intonatie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balans-/opstellingsverhoudingen binnen de groep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podiumvastheid als groepslid ontwikkelen:</w:t>
            </w:r>
          </w:p>
          <w:p>
            <w:pPr>
              <w:pStyle w:val="ListParagraph"/>
              <w:numPr>
                <w:ilvl w:val="0"/>
                <w:numId w:val="33"/>
              </w:numPr>
            </w:pPr>
            <w:r>
              <w:rPr/>
              <w:t xml:space="preserve"> opkomen</w:t>
            </w:r>
          </w:p>
          <w:p>
            <w:pPr>
              <w:pStyle w:val="ListParagraph"/>
              <w:numPr>
                <w:ilvl w:val="0"/>
                <w:numId w:val="33"/>
              </w:numPr>
            </w:pPr>
            <w:r>
              <w:rPr/>
              <w:t xml:space="preserve"> stemmen</w:t>
            </w:r>
          </w:p>
          <w:p>
            <w:pPr>
              <w:pStyle w:val="ListParagraph"/>
              <w:numPr>
                <w:ilvl w:val="0"/>
                <w:numId w:val="33"/>
              </w:numPr>
            </w:pPr>
            <w:r>
              <w:rPr/>
              <w:t xml:space="preserve"> presenteren van het stuk</w:t>
            </w:r>
          </w:p>
          <w:p>
            <w:pPr>
              <w:pStyle w:val="ListParagraph"/>
              <w:numPr>
                <w:ilvl w:val="0"/>
                <w:numId w:val="33"/>
              </w:numPr>
            </w:pPr>
            <w:r>
              <w:rPr/>
              <w:t xml:space="preserve"> houding tijdens het spelen</w:t>
            </w:r>
          </w:p>
          <w:p>
            <w:pPr>
              <w:pStyle w:val="ListParagraph"/>
              <w:numPr>
                <w:ilvl w:val="0"/>
                <w:numId w:val="33"/>
              </w:numPr>
            </w:pPr>
            <w:r>
              <w:rPr/>
              <w:t xml:space="preserve"> groepsopstelling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bijdrage aan de groepsvisie ontwikkelen:</w:t>
            </w:r>
          </w:p>
          <w:p>
            <w:pPr>
              <w:pStyle w:val="ListParagraph"/>
              <w:numPr>
                <w:ilvl w:val="0"/>
                <w:numId w:val="34"/>
              </w:numPr>
            </w:pPr>
            <w:r>
              <w:rPr/>
              <w:t xml:space="preserve"> uitvoering met (basis)kennis van de stijlelementen van het werk</w:t>
            </w:r>
          </w:p>
          <w:p>
            <w:pPr>
              <w:pStyle w:val="ListParagraph"/>
              <w:numPr>
                <w:ilvl w:val="0"/>
                <w:numId w:val="34"/>
              </w:numPr>
            </w:pPr>
            <w:r>
              <w:rPr/>
              <w:t xml:space="preserve"> overbrenging van de sfeer van de compositie</w:t>
            </w:r>
          </w:p>
          <w:p>
            <w:pPr>
              <w:pStyle w:val="ListParagraph"/>
              <w:numPr>
                <w:ilvl w:val="0"/>
                <w:numId w:val="34"/>
              </w:numPr>
            </w:pPr>
            <w:r>
              <w:rPr/>
              <w:t xml:space="preserve"> inzicht in de functie van de eigen partij binnen de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van de eigen partij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balans, opstelling en gehoorhygiëne ontwikkelen:</w:t>
            </w:r>
          </w:p>
          <w:p>
            <w:pPr>
              <w:pStyle w:val="ListParagraph"/>
              <w:numPr>
                <w:ilvl w:val="0"/>
                <w:numId w:val="35"/>
              </w:numPr>
            </w:pPr>
            <w:r>
              <w:rPr/>
              <w:t xml:space="preserve"> adequaat inschatten van het individueel geluidsvolume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 voor podium, instrument, partituur en publiek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diepgaande beheersing van de eigen 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muzikaal en artistiek functioneren binnen diverse groepsbezettingen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flexibele bezetting ontwikkelen:</w:t>
            </w:r>
          </w:p>
          <w:p>
            <w:pPr>
              <w:pStyle w:val="ListParagraph"/>
              <w:numPr>
                <w:ilvl w:val="0"/>
                <w:numId w:val="36"/>
              </w:numPr>
            </w:pPr>
            <w:r>
              <w:rPr/>
              <w:t xml:space="preserve"> verhoudingen/betekenis qua kleur en balans/opstelling in onderscheiden vormen van bezetting inschatten</w:t>
            </w:r>
          </w:p>
          <w:p>
            <w:pPr>
              <w:pStyle w:val="ListParagraph"/>
              <w:numPr>
                <w:ilvl w:val="0"/>
                <w:numId w:val="36"/>
              </w:numPr>
            </w:pPr>
            <w:r>
              <w:rPr/>
              <w:t xml:space="preserve"> eigen rol binnen het geheel aanpassen aan de specifieke bezetting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creatief omgaan met muziek in samenspelverband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functioneel aanpassen van partituur en/of uitvoering (in termen van stijl, karakter, harmonie, compositie, bezetting …)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'praktische harmonie'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passende akkoorden bij een melodie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passende akkoorden bij een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aanvoelen van het juiste akkoord bij de juiste noten van de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verbinden van eenvoudige akkoordschema’s met drie- en/of vierklanken aan een klavierinstrument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diverse manieren akkoordverbindingen onder melodieën uitvoeren:</w:t>
            </w:r>
          </w:p>
          <w:p>
            <w:pPr>
              <w:pStyle w:val="ListParagraph"/>
              <w:numPr>
                <w:ilvl w:val="0"/>
                <w:numId w:val="37"/>
              </w:numPr>
            </w:pPr>
            <w:r>
              <w:rPr/>
              <w:t xml:space="preserve"> slechts één akkoord per maat of</w:t>
            </w:r>
          </w:p>
          <w:p>
            <w:pPr>
              <w:pStyle w:val="ListParagraph"/>
              <w:numPr>
                <w:ilvl w:val="0"/>
                <w:numId w:val="37"/>
              </w:numPr>
            </w:pPr>
            <w:r>
              <w:rPr/>
              <w:t xml:space="preserve"> elke noot harmoniserend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akkoordgraden en letterakkoorden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geziene akkoordschema’s uitvoeren in diverse maatsoorten en begeleidingsmodellen (bijvoorbeeld gebroken akkoord, wisselbas, walking bass,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akkoordenschema’s aan klavierinstrument transponeren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naspelen van voorgespeelde akkoordverbinding op gehoor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Het onderdeel 'instrumentaal ensemble': </w:t>
        <w:br/>
        <w:t>•	Je mag eventueel  je hoofdinstrument nemen. De begeleiding van klavier of samenspel mag met een ander instrument gebeuren. Het geheel moet wel een evenwichtige verdeling zijn tussen melodie en structuur --&gt; kamermuziek. </w:t>
        <w:br/>
        <w:t>•	De voorkeur gaat eerder uit naar grotere groepen (trio, kwartet…). </w:t>
        <w:br/>
        <w:t>•	Je speelt de werken samen. </w:t>
        <w:br/>
        <w:t>•	Je legt één repertoirestuk of één deel van een groter werk voor.</w:t>
        <w:br/>
        <w:t>•	Het niveau van deze werken zijn te vergelijken met de derde (middelbare) graad (academies/DKO). </w:t>
        <w:br/>
        <w:t>•	Alvorens je start, geef je een kopie af aan de jury (liefst in tweevoud zodat elk jurylid een eigen exemplaar heeft). </w:t>
      </w:r>
    </w:p>
    <w:p>
      <w:pPr>
        <w:jc w:val="both"/>
      </w:pPr>
      <w:r>
        <w:t xml:space="preserve">- Het onderdeel 'neveninstrument': </w:t>
        <w:br/>
        <w:t>•	Je bereidt een repertoire voor van twee stukken (één étude en één repertoirestuk).</w:t>
        <w:br/>
        <w:t>•	Je zorgt zelf voor een begeleid(st)er voor het uit te voeren programma. </w:t>
        <w:br/>
        <w:t>•	Je speelt de werken samen.</w:t>
        <w:br/>
        <w:t>•	Het niveau van deze werken zijn te vergelijken met de tweede (lagere) graad  (academies/DKO). </w:t>
        <w:br/>
        <w:t>•	Alvorens je start, geef je een kopie af aan de jury (liefst in tweevoud zodat elk jurylid een eigen exemplaar heeft). </w:t>
      </w:r>
    </w:p>
    <w:p>
      <w:pPr>
        <w:jc w:val="both"/>
      </w:pPr>
      <w:r>
        <w:t xml:space="preserve">- Het onderdeel 'praktische harmonie': </w:t>
        <w:br/>
        <w:t>•	Je krijgt op het examen een opgave van de jury die je op een akkoordinstrument (= piano, orgel, klavecimbel, accordeon, gitaar…) met een verantwoorde begeleiding moet uitvoeren. Je krijgt hiervoor 15 minuten voorbereidingstijd.</w:t>
        <w:br/>
        <w:t>•	De opgave is meestal een ABA-vorm. Dit kan een volksliedje of een nieuwe eenvoudige melodie zijn.</w:t>
        <w:br/>
        <w:t>•	Je speelt de volledige opgave (de melodie met de door jou bepaalde akkoorden erbij) in een vrij vlot tempo met een door jou gekozen klavierinstrument. Indien je hier een snaarinstrument kiest, moet de melodie erbij gespeeld worden.</w:t>
        <w:br/>
        <w:t>•	Het is beter een vlotte uitvoering te spelen dan ingewikkelde harmonieën.</w:t>
        <w:br/>
        <w:t>•	De melodie kan eventueel gevocaliseerd worden met begeleiding van je harmonie-instrument.</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gaat door op een externe examenlocatie die meegedeeld wordt op het platform als je jezelf inschrijft voor dit examen.</w:t>
      </w:r>
    </w:p>
    <w:p>
      <w:pPr>
        <w:jc w:val="both"/>
      </w:pPr>
      <w:r>
        <w:t xml:space="preserve">De duurtijd van het examen is ongeveer 30 minuten al naargelang je oeuvre (installeren, inspelen, examen).</w:t>
      </w:r>
    </w:p>
    <w:p>
      <w:pPr>
        <w:jc w:val="both"/>
      </w:pPr>
      <w:r>
        <w:t xml:space="preserve"/>
      </w:r>
    </w:p>
    <w:p>
      <w:pPr>
        <w:jc w:val="both"/>
      </w:pPr>
      <w:r>
        <w:t xml:space="preserve">- Het onderdeel 'instrumentaal ensemble': </w:t>
      </w:r>
    </w:p>
    <w:p>
      <w:pPr>
        <w:jc w:val="both"/>
      </w:pPr>
      <w:r>
        <w:t xml:space="preserve">•	Je bereidt je plaats voor (schikken van stoel(en), spelers en partituren; stemmen van instrument(en) …). </w:t>
      </w:r>
    </w:p>
    <w:p>
      <w:pPr>
        <w:jc w:val="both"/>
      </w:pPr>
      <w:r>
        <w:t xml:space="preserve">•	Je mag eventueel  je hoofdinstrument nemen. De begeleiding van klavier of samenspel mag met een ander instrument gebeuren. Het geheel moet wel een evenwichtige verdeling zijn tussen melodie en structuur --&gt; kamermuziek. </w:t>
      </w:r>
    </w:p>
    <w:p>
      <w:pPr>
        <w:jc w:val="both"/>
      </w:pPr>
      <w:r>
        <w:t xml:space="preserve">•	De voorkeur gaat eerder uit naar grotere groepen (trio, kwartet…). </w:t>
      </w:r>
    </w:p>
    <w:p>
      <w:pPr>
        <w:jc w:val="both"/>
      </w:pPr>
      <w:r>
        <w:t xml:space="preserve">•	Je speelt de werken samen.</w:t>
      </w:r>
    </w:p>
    <w:p>
      <w:pPr>
        <w:jc w:val="both"/>
      </w:pPr>
      <w:r>
        <w:t xml:space="preserve">•	Je legt één repertoirestuk of één deel van een groter werk voor.</w:t>
      </w:r>
    </w:p>
    <w:p>
      <w:pPr>
        <w:jc w:val="both"/>
      </w:pPr>
      <w:r>
        <w:t xml:space="preserve">•	Het niveau van deze werken zijn te vergelijken met de derde (middelbare) graad (academies/DKO).</w:t>
      </w:r>
    </w:p>
    <w:p>
      <w:pPr>
        <w:jc w:val="both"/>
      </w:pPr>
      <w:r>
        <w:t xml:space="preserve">•	Alvorens je start, geef je een kopie af aan de jury (liefst in tweevoud zodat elk jurylid een eigen exemplaar heeft). </w:t>
      </w:r>
    </w:p>
    <w:p>
      <w:pPr>
        <w:jc w:val="both"/>
      </w:pPr>
      <w:r>
        <w:t xml:space="preserve"/>
      </w:r>
    </w:p>
    <w:p>
      <w:pPr>
        <w:jc w:val="both"/>
      </w:pPr>
      <w:r>
        <w:t xml:space="preserve">- Het onderdeel 'neveninstrument': </w:t>
      </w:r>
    </w:p>
    <w:p>
      <w:pPr>
        <w:jc w:val="both"/>
      </w:pPr>
      <w:r>
        <w:t xml:space="preserve">•	Je bereidt een repertoire voor van twee stukken (één étude en één repertoirestuk). </w:t>
      </w:r>
    </w:p>
    <w:p>
      <w:pPr>
        <w:jc w:val="both"/>
      </w:pPr>
      <w:r>
        <w:t xml:space="preserve">•	Je zorgt zelf voor een begeleid(st)er voor het uit te voeren programma. </w:t>
      </w:r>
    </w:p>
    <w:p>
      <w:pPr>
        <w:jc w:val="both"/>
      </w:pPr>
      <w:r>
        <w:t xml:space="preserve">•	Het niveau van deze werken zijn te vergelijken met de tweede (lagere) graad (academies/DKO).</w:t>
      </w:r>
    </w:p>
    <w:p>
      <w:pPr>
        <w:jc w:val="both"/>
      </w:pPr>
      <w:r>
        <w:t xml:space="preserve"> •	Je bereidt je plaats voor (schikken van stoel(en), speler(s) en partituren; stemmen van instrument(en)…). </w:t>
      </w:r>
    </w:p>
    <w:p>
      <w:pPr>
        <w:jc w:val="both"/>
      </w:pPr>
      <w:r>
        <w:t xml:space="preserve">•	Je speelt de werken samen. </w:t>
      </w:r>
    </w:p>
    <w:p>
      <w:pPr>
        <w:jc w:val="both"/>
      </w:pPr>
      <w:r>
        <w:t xml:space="preserve">•	Alvorens je start, geef je een kopie af aan de jury (liefst in tweevoud zodat elk jurylid een eigen exemplaar heeft).</w:t>
      </w:r>
    </w:p>
    <w:p>
      <w:pPr>
        <w:jc w:val="both"/>
      </w:pPr>
      <w:r>
        <w:t xml:space="preserve"/>
      </w:r>
    </w:p>
    <w:p>
      <w:pPr>
        <w:jc w:val="both"/>
      </w:pPr>
      <w:r>
        <w:t xml:space="preserve">- Het onderdeel 'praktische harmonie': </w:t>
      </w:r>
    </w:p>
    <w:p>
      <w:pPr>
        <w:jc w:val="both"/>
      </w:pPr>
      <w:r>
        <w:t xml:space="preserve">•	Je krijgt op het examen een opgave van de jury die je op een akkoordinstrument (= piano, orgel, klavecimbel, accordeon, gitaar…) met een verantwoorde begeleiding moet uitvoeren. Je krijgt hiervoor 15 minuten voorbereidingstijd.</w:t>
      </w:r>
    </w:p>
    <w:p>
      <w:pPr>
        <w:jc w:val="both"/>
      </w:pPr>
      <w:r>
        <w:t xml:space="preserve">•	De opgave is meestal een ABA-vorm. Dit kan een volksliedje of een nieuwe eenvoudige melodie zijn. </w:t>
      </w:r>
    </w:p>
    <w:p>
      <w:pPr>
        <w:jc w:val="both"/>
      </w:pPr>
      <w:r>
        <w:t xml:space="preserve">•	Je speelt de volledige opgave (de melodie met de door jou bepaalde akkoorden erbij) in een vrij vlot tempo met een door jou gekozen klavierinstrument. Indien je hier een snaarinstrument kiest, moet de melodie erbij gespeeld worden.</w:t>
      </w:r>
    </w:p>
    <w:p>
      <w:pPr>
        <w:jc w:val="both"/>
      </w:pPr>
      <w:r>
        <w:t xml:space="preserve">•	Het is beter een vlotte uitvoering te spelen dan ingewikkelde harmonieën.</w:t>
      </w:r>
    </w:p>
    <w:p>
      <w:pPr>
        <w:jc w:val="both"/>
      </w:pPr>
      <w:r>
        <w:t xml:space="preserve">•	De melodie kan eventueel gevocaliseerd worden met begeleiding van je harmonie-instrument</w:t>
      </w:r>
    </w:p>
    <w:p>
      <w:pPr>
        <w:jc w:val="both"/>
      </w:pPr>
      <w:r>
        <w:t xml:space="preserve"/>
      </w:r>
    </w:p>
    <w:p>
      <w:pPr>
        <w:jc w:val="both"/>
      </w:pPr>
      <w:r>
        <w:t xml:space="preserve">De volgorde van de werken in de eerste twee onderdelen bepaal je zelf.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 twee kopieën voor de jury) van elk uit te voeren compositie. Dit maakt deel uit van de evaluatie!</w:t>
      </w:r>
    </w:p>
    <w:p>
      <w:pPr>
        <w:jc w:val="both"/>
      </w:pPr>
      <w:r>
        <w:t xml:space="preserve"/>
      </w:r>
    </w:p>
    <w:p>
      <w:pPr>
        <w:jc w:val="both"/>
      </w:pPr>
      <w:r>
        <w:t xml:space="preserve">Tegenspelers/begeleiders voor het uit te voeren programma en je eigen instrumenten.</w:t>
      </w:r>
    </w:p>
    <w:p>
      <w:pPr>
        <w:jc w:val="both"/>
      </w:pPr>
      <w:r>
        <w:t xml:space="preserve">(Behalve klavierinstrumenten en sommige slaginstrumenten. Deze instrumenten zijn beschikbaar op de examenlocatie maar je dient dit wel vooraf door te geven aan de Examencommissie.)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aanwezig instrumentarium van de examenlocatie gebruiken. (zie ‘Wat breng je mee?’) en je krijgt de opgave van het vak ‘praktische harmonie’ op het examen.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de ingestudeerde werken.</w:t>
      </w:r>
    </w:p>
    <w:p>
      <w:pPr>
        <w:jc w:val="both"/>
      </w:pPr>
      <w:r>
        <w:t xml:space="preserve">De jury kan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totale quotatie op 100%.</w:t>
      </w:r>
    </w:p>
    <w:p>
      <w:pPr>
        <w:jc w:val="both"/>
      </w:pPr>
      <w:r>
        <w:t xml:space="preserve">Dit is een optelling van de onderdelen van dit vak. </w:t>
      </w:r>
    </w:p>
    <w:p>
      <w:pPr>
        <w:jc w:val="both"/>
      </w:pPr>
      <w:r>
        <w:t xml:space="preserve"/>
      </w:r>
    </w:p>
    <w:p>
      <w:pPr>
        <w:jc w:val="both"/>
      </w:pPr>
      <w:r>
        <w:t xml:space="preserve">De juryleden kunnen aan de diverse werken een verschillend puntengehalte toekennen. Bijvoorbeeld wanneer er een erg groot verschil in moeilijkheidsgraad zou zijn tussen de gekozen composities.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'instrumentaal ensemble'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'neveninstrument'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'praktische harmonie'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