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Chemie is immers een wetenschap waar je bijna dagelijks mee wordt geconfronteerd.  Denk maar aan:</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t>
        <w:br/>
        <w:t xml:space="preserve"/>
        <w:br/>
        <w:t xml:space="preserve"/>
      </w:r>
    </w:p>
    <w:p>
      <w:pPr>
        <w:pStyle w:val="ListParagraph"/>
        <w:numPr>
          <w:ilvl w:val="0"/>
          <w:numId w:val="8"/>
        </w:numPr>
      </w:pPr>
      <w:r>
        <w:rPr/>
        <w:t xml:space="preserve">het gebruik van scheidingstechnieken in allerlei gebruikstoestellen;</w:t>
      </w:r>
    </w:p>
    <w:p>
      <w:pPr>
        <w:pStyle w:val="ListParagraph"/>
        <w:numPr>
          <w:ilvl w:val="0"/>
          <w:numId w:val="8"/>
        </w:numPr>
      </w:pPr>
      <w:r>
        <w:rPr/>
        <w:t xml:space="preserve">de productie van nieuwe materialen door chemische reacties;</w:t>
      </w:r>
    </w:p>
    <w:p>
      <w:pPr>
        <w:pStyle w:val="ListParagraph"/>
        <w:numPr>
          <w:ilvl w:val="0"/>
          <w:numId w:val="8"/>
        </w:numPr>
      </w:pPr>
      <w:r>
        <w:rPr/>
        <w:t xml:space="preserve">technische realisaties in de geneeskunde;</w:t>
      </w:r>
    </w:p>
    <w:p>
      <w:r>
        <w:rPr/>
        <w:t xml:space="preserve">Wetenschappelijke kennis heb je bovendien ook nodig om verantwoorde en bewuste keuzes te maken, bijvoorbeeld om veilig en verantwoord om te gaan met (gebruiks)stoffen.  Zo is het belangrijk om in te zien dat het gebruik van onderhoudsproducten gevaren kunnen inhouden . Productetiketten interpreteren is dan ook een onderdeel van het examen.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bewust van de eindigheid van het gebruik van grondstoffen of stoffen ? Besef je dat onze manier van leven belastend kan zijn voor het milieu en dat hiervoor alternatieven of oplossingen moeten gezocht worden? Is het niet belangrijk om giftige stoffen in speelgoed, verven... te vermijden?  Sorteer je thuis het afval?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 </w:t>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br/>
        <w:t xml:space="preserve"/>
        <w:br/>
        <w:t xml:space="preserve"/>
        <w:br/>
        <w:t xml:space="preserve"/>
        <w:br/>
        <w:t xml:space="preserve"/>
        <w:br/>
        <w:t xml:space="preserve"/>
        <w:br/>
        <w:t xml:space="preserve"/>
        <w:br/>
        <w:t xml:space="preserve"/>
        <w:br/>
        <w:t xml:space="preserve">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Bovendien behoort wetenschap en dus ook chemie tot onze culturele ontwikkeling.  Voorbeelden zoals de evolutie van het atoommodel, een katalysator in een auto, verzuring van de bodem....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eenvoudig materiaal.  Bij deze opdrachten worden onderzoekende vragen gesteld waarop je een hypothese of verwachting probeert te formuleren.  Om op deze vragen te antwoorden heb je voorkennis of extra informatie nodig zijn die je moet opzoeken.  Hoe je te werk gaat om de opdracht uit te voeren, wordt telkens uitvoerig beschreven.  De waarnemingen van deze opdracht geef je weer in woorden, een tabel en/of grafiek.  Tijdens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NAMEN EN SYMBOLEN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chemie, fysica en biologie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wat de chemie bestudeert in termen van de grootteorde van deeltjes en dit vergelijken met andere wetenschappen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ATOOMMODEL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atoommodel van Dalton, Thomson, Rutherford en Bohr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herkennen, benoemen en beschrijven</w:t>
              <w:br/>
              <w:t xml:space="preserve"/>
              <w:br/>
              <w:t xml:space="preserve">een vergelijking maken tussen de verschillende atoommodellen</w:t>
              <w:br/>
              <w:t xml:space="preserve"/>
              <w:br/>
              <w:t xml:space="preserve">het gebruik van deze modellen historische verklaren</w:t>
              <w:br/>
              <w:t xml:space="preserve"/>
              <w:br/>
              <w:t xml:space="preserve">het gebruik van modellen in wetenschappen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van een atoom: protonen, neutronen en elektronen, atoomnummer, nucleonengetal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deeltjes situeren in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relatieve en absolute massa en lading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getalwaarde van de relatieve massa en lading van protonen, neutronen en elektronen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symbolische voorstelling van een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atomen symbolisch voorstellen met atoomnummer en massagetal</w:t>
              <w:br/>
              <w:t xml:space="preserve"/>
              <w:br/>
              <w:t xml:space="preserve">het aantal protonen, neutronen en elektronen afleiden uit het massagetal en het atoomnummer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elektronenconfiguratie voor elementen met Z ≤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configuratie schrijven volgens het atoommodel van Bohr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 als een rangschikking van elementen volgens atoomnummer en overeenkomstige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indeling van het PSE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periode, groep, groepsnaam, metalen, niet-metalen, edelgassen, elektronegatieve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 op een gegeven PSE</w:t>
              <w:br/>
              <w:t xml:space="preserve"/>
              <w:br/>
              <w:t xml:space="preserve">de elementen (voor Z ≤ 18) een plaats geven in het PSE op basis van de elektronenconfiguratie</w:t>
              <w:br/>
              <w:t xml:space="preserve"/>
              <w:br/>
              <w:t xml:space="preserve">het verband leggen tussen de elektronenconfiguratie enerzijds en het periodenummer en het groepsnummer anderzijds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elektronen op de buitenste hoofdschil afleiden met behulp van het PSE voor elementen uit de hoofdgroepen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ATOOMMASSA, MOLECUULMASSA, MOLAIRE MASSA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relatieve atoom- en molecuulmassa,</w:t>
              <w:br/>
              <w:t xml:space="preserve">molaire massa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afleiden uit het PSE of berekenen</w:t>
              <w:br/>
              <w:t xml:space="preserve"/>
              <w:br/>
              <w:t xml:space="preserve">de juiste symbolen, SI-eenheden en terminologie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het getal van Avogadro, de atoommassa-eenheid (ame of unit), één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symbolisch voorstellen en de juiste SI-eenheden gebruiken</w:t>
              <w:br/>
              <w:t xml:space="preserve"/>
              <w:br/>
              <w:t xml:space="preserve">omrekeningen maken tussen het aantal deeltjes, de stofhoeveelheid en massa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stoichiometrische berekeningen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chemische reactievergelijking stoichiometrische hoeveelheden afleiden en massa's van reagentia en reactieproducten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stofeigenschappen of gegeven waarnemingen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scheidingstechnieken beschrijven</w:t>
              <w:br/>
              <w:t xml:space="preserve"/>
              <w:br/>
              <w:t xml:space="preserve">de geschikte scheidingstechniek benoemen om een zuivere stof uit een gegeven mengsel te isoleren en verklaren waarom deze scheidingstechniek gebruikt kan worden</w:t>
              <w:br/>
              <w:t xml:space="preserve"/>
              <w:br/>
              <w:t xml:space="preserve">op basis van gegevens een scheidingsplan opstellen om verschillende zuivere stoffen uit een eenvoudig en herkenbaar mengsel te isoleren en verklaren waarom de gekozen scheidingstechnieken gebruikt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ZUIVERE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deeltjesmodel of vanuit experimentele gegevens</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afleiden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en twee- en driedimensionele voorstellingen van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met een deeltjesmodel voorstellen</w:t>
              <w:br/>
              <w:t xml:space="preserve"/>
              <w:br/>
              <w:t xml:space="preserve">het deeltjesmodel en deze voorstellingen vertalen naar de samenstelling van de stof en naar de chemische formule van de stof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ENKELVOUDIGE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w:t>
            </w:r>
            <w:r>
              <w:rPr>
                <w:vertAlign w:val="subscript"/>
              </w:rPr>
              <w:t xml:space="preserve">2</w:t>
            </w:r>
            <w:r>
              <w:rPr/>
              <w:t xml:space="preserve"> N</w:t>
            </w:r>
            <w:r>
              <w:rPr>
                <w:vertAlign w:val="subscript"/>
              </w:rPr>
              <w:t xml:space="preserve">2</w:t>
            </w:r>
            <w:r>
              <w:rPr/>
              <w:t xml:space="preserve"> O</w:t>
            </w:r>
            <w:r>
              <w:rPr>
                <w:vertAlign w:val="subscript"/>
              </w:rPr>
              <w:t xml:space="preserve">2</w:t>
            </w:r>
            <w:r>
              <w:rPr/>
              <w:t xml:space="preserve"> F</w:t>
            </w:r>
            <w:r>
              <w:rPr>
                <w:vertAlign w:val="subscript"/>
              </w:rPr>
              <w:t xml:space="preserve">2</w:t>
            </w:r>
            <w:r>
              <w:rPr/>
              <w:t xml:space="preserve"> Cl</w:t>
            </w:r>
            <w:r>
              <w:rPr>
                <w:vertAlign w:val="subscript"/>
              </w:rPr>
              <w:t xml:space="preserve">2</w:t>
            </w:r>
            <w:r>
              <w:rPr/>
              <w:t xml:space="preserve"> Br</w:t>
            </w:r>
            <w:r>
              <w:rPr>
                <w:vertAlign w:val="subscript"/>
              </w:rPr>
              <w:t xml:space="preserve">2</w:t>
            </w:r>
            <w:r>
              <w:rPr/>
              <w:t xml:space="preserve"> I</w:t>
            </w:r>
            <w:r>
              <w:rPr>
                <w:vertAlign w:val="subscript"/>
              </w:rPr>
              <w:t xml:space="preserve">2</w:t>
            </w:r>
            <w:r>
              <w:rPr/>
              <w:t xml:space="preserve">, O</w:t>
            </w:r>
            <w:r>
              <w:rPr>
                <w:vertAlign w:val="subscript"/>
              </w:rPr>
              <w:t xml:space="preserve">3</w:t>
            </w:r>
            <w:r>
              <w:rPr/>
              <w:t xml:space="preserve">, C, S</w:t>
            </w:r>
            <w:r>
              <w:rPr>
                <w:vertAlign w:val="subscript"/>
              </w:rPr>
              <w:t xml:space="preserve">8</w:t>
            </w:r>
            <w:r>
              <w:rPr/>
              <w:t xml:space="preserve">, P</w:t>
            </w:r>
            <w:r>
              <w:rPr>
                <w:vertAlign w:val="subscript"/>
              </w:rPr>
              <w:t xml:space="preserve">4</w:t>
            </w:r>
            <w:r>
              <w:rPr/>
              <w:t xml:space="preserve"/>
              <w:br/>
              <w:t xml:space="preserve"/>
              <w:br/>
              <w:t xml:space="preserve">(Zie ook 1 namen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metalen, niet-metalen en edelgassen classificeren aan de hand van een chemische formule, chemische structuur</w:t>
              <w:br/>
              <w:t xml:space="preserve"/>
              <w:br/>
              <w:t xml:space="preserve">deze namen en symbolische voorstellingen noteren</w:t>
              <w:br/>
              <w:t xml:space="preserve"/>
              <w:br/>
              <w:t xml:space="preserve">triviale namen van deze stoffen noteren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metalen, niet-metalen en edelgassen: aggregatietoestand bij kamertemperatuur, elektrisch geleidingsvermogen, warmtegeleiding, vervormbaarheid, glans…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metalen en niet-metalen te classificeren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SAMENGESTELDE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chemische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IUPAC-namen van:  zuren, zouten, basen en oxiden, een aantal ternaire zuren en zouten zoals carbonaat, nitraat, fosfaat, sulfaat, chloraat, bromaat en jodaat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IUPAC-namen van de gegeven stofklassen en voorbeelden noteren</w:t>
              <w:br/>
              <w:t xml:space="preserve"/>
              <w:br/>
              <w:t xml:space="preserve">chemische formules van zuren, zouten, basen en oxiden noteren met behulp van het PSE en een tabel met oxidatiegetallen (zie bijlage)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anorganische stoffen: zoutzuur, zwavelzuur, bijtende soda, ontstopper, gewone soda, gebluste kalk, ongebluste kalk, kalkwater, koolzuur, salpeterzuur, fosforzuur, ammoniak, lachgas, keukenzout, bakpoeder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br/>
              <w:t xml:space="preserve"/>
              <w:br/>
              <w:t xml:space="preserve">van deze stoffen de formule of de IUPAC-naam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zuren, zouten, basen en oxiden te classificeren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n-alkanen, n-alkanolen (alcoholen), n-alkaanzuren (carbonzuren), verzadigde organische 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stoffen herkennen en benoemen aan de hand van hun chemische formule</w:t>
              <w:br/>
              <w:t xml:space="preserve"/>
              <w:br/>
              <w:t xml:space="preserve">het begrip verzadigde verbinding beschrijven</w:t>
              <w:br/>
              <w:t xml:space="preserve"/>
              <w:br/>
              <w:t xml:space="preserve">de functionele groep van alcoholen en carbonzuren herkennen en benoemen in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de eerste 10 n-alkanen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en IUPAC-namen noteren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van organische stoffen: mierenzuur, azijnzuur, brandspiritus, drankalcohol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namen herkennen in teksten en vraagstellingen</w:t>
              <w:br/>
              <w:t xml:space="preserve"/>
              <w:br/>
              <w:t xml:space="preserve">deze namen gebruiken in 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 van n-alkanen, methanol, ethanol, methaanzuur en ethaanzuur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beschrijven</w:t>
              <w:br/>
              <w:t xml:space="preserve"/>
              <w:br/>
              <w:t xml:space="preserve">deze eigenschappen in verband brengen met hun toepassingen in het dagelijks leven en met hun chemische structuur</w:t>
              <w:br/>
              <w:t xml:space="preserve"/>
              <w:br/>
              <w:t xml:space="preserve">deze eigenschappen gebruiken om deze organische stoffen te classificeren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volledige en onvolledige verbranding van n-alkanen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onderscheid beschrijven met verwijzing naar de vuurdriehoek</w:t>
              <w:br/>
              <w:t xml:space="preserve"/>
              <w:br/>
              <w:t xml:space="preserve">de gevolgen van beiden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pH, waterstofionenconcentratie, hydroxideconcentratie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leggen tussen deze begrippen in een waterige oplossing</w:t>
              <w:br/>
              <w:t xml:space="preserve"/>
              <w:br/>
              <w:t xml:space="preserve">en verband leggen tussen deze begrippen en het zure, basische en neutrale karakter van een waterige oplossing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zuur-base-indicatoren, het gebruik van een pH-meter en een universeelindicator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van deze meetmethoden gebruiken om stoffen te classificeren en eigenschappen van deze stoffen af te 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DE CHEMISCHE BINDING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 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oxidatiegetal</w:t>
              <w:br/>
              <w:t xml:space="preserve"/>
              <w:br/>
              <w:t xml:space="preserve">de getalwaarden van volgende oxidatiegetallen:</w:t>
            </w:r>
          </w:p>
          <w:p>
            <w:pPr>
              <w:pStyle w:val="ListParagraph"/>
              <w:numPr>
                <w:ilvl w:val="0"/>
                <w:numId w:val="9"/>
              </w:numPr>
            </w:pPr>
            <w:r>
              <w:rPr/>
              <w:t xml:space="preserve">OG van atomen in enkelvoudige stoffen = 0</w:t>
            </w:r>
          </w:p>
          <w:p>
            <w:pPr>
              <w:pStyle w:val="ListParagraph"/>
              <w:numPr>
                <w:ilvl w:val="0"/>
                <w:numId w:val="9"/>
              </w:numPr>
            </w:pPr>
            <w:r>
              <w:rPr/>
              <w:t xml:space="preserve">som van de OG bij neutrale verbinding = 0</w:t>
            </w:r>
          </w:p>
          <w:p>
            <w:pPr>
              <w:pStyle w:val="ListParagraph"/>
              <w:numPr>
                <w:ilvl w:val="0"/>
                <w:numId w:val="9"/>
              </w:numPr>
            </w:pPr>
            <w:r>
              <w:rPr/>
              <w:t xml:space="preserve">OG van mono-atomische ionen = relatieve ionlading</w:t>
            </w:r>
          </w:p>
          <w:p>
            <w:pPr>
              <w:pStyle w:val="ListParagraph"/>
              <w:numPr>
                <w:ilvl w:val="0"/>
                <w:numId w:val="9"/>
              </w:numPr>
            </w:pPr>
            <w:r>
              <w:rPr/>
              <w:t xml:space="preserve">som van de OG bij poly-atomische ionen = relatieve ionlading</w:t>
            </w:r>
          </w:p>
          <w:p>
            <w:pPr>
              <w:pStyle w:val="ListParagraph"/>
              <w:numPr>
                <w:ilvl w:val="0"/>
                <w:numId w:val="9"/>
              </w:numPr>
            </w:pPr>
            <w:r>
              <w:rPr/>
              <w:t xml:space="preserve">OG van een zuurstofatoom in een samengestelde stof = -II</w:t>
            </w:r>
          </w:p>
          <w:p>
            <w:pPr>
              <w:pStyle w:val="ListParagraph"/>
              <w:numPr>
                <w:ilvl w:val="0"/>
                <w:numId w:val="9"/>
              </w:numPr>
            </w:pPr>
            <w:r>
              <w:rPr/>
              <w:t xml:space="preserve">OG van een waterstofatoom in een samengestelde stof = +I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het oxidatiegetal symbolisch noteren</w:t>
              <w:br/>
              <w:t xml:space="preserve"/>
              <w:br/>
              <w:t xml:space="preserve">het verband afleiden tussen het oxidatiegetal van een element en zijn groepsnummer</w:t>
              <w:br/>
              <w:t xml:space="preserve"/>
              <w:br/>
              <w:t xml:space="preserve">het oxidatiegetal van een atoom in een binaire verbindingen of poly-atomisch ion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lewisstructuur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opstellen voor binaire verbindingen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2.6	ROOSTERTYPES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roostertypes herkennen en benoemen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elektrisch geleidingsvermogen; elektrische aantrekkingskracht, vervormbaarheid van metalen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in verband te brengen met de chemische binding en het roostertype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2.7	VEILIGHEID EN DUURZAAMHEID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aantonen op basis van H/P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REACTIEVERGELIJKINGEN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chemische reacties voorstellen met behulp van het deeltjesmodel en een chemische reactievergelijking</w:t>
              <w:br/>
              <w:t xml:space="preserve"/>
              <w:br/>
              <w:t xml:space="preserve">een chemische reactie interpreteren</w:t>
              <w:br/>
              <w:t xml:space="preserve"/>
              <w:br/>
              <w:t xml:space="preserve">het principe van een chemische 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atomen, de wet van Lavoisier en de wet van Proust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wetten beschrijven en in verband brengen met de afvalproblematiek en toepassingen in het dagelijks leven</w:t>
              <w:br/>
              <w:t xml:space="preserve"/>
              <w:br/>
              <w:t xml:space="preserve">deze wetten toepassen in reactievergelijkingen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REACTIEPATRONEN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reactiepatronen</w:t>
            </w:r>
          </w:p>
          <w:p>
            <w:pPr>
              <w:pStyle w:val="ListParagraph"/>
              <w:numPr>
                <w:ilvl w:val="0"/>
                <w:numId w:val="10"/>
              </w:numPr>
            </w:pPr>
            <w:r>
              <w:rPr/>
              <w:t xml:space="preserve">metalen/ niet-metalen  + dizuurstof</w:t>
            </w:r>
          </w:p>
          <w:p>
            <w:pPr>
              <w:pStyle w:val="ListParagraph"/>
              <w:numPr>
                <w:ilvl w:val="0"/>
                <w:numId w:val="10"/>
              </w:numPr>
            </w:pPr>
            <w:r>
              <w:rPr/>
              <w:t xml:space="preserve">metaaloxiden/niet-metaaloxiden  +  water</w:t>
            </w:r>
          </w:p>
          <w:p>
            <w:pPr>
              <w:pStyle w:val="ListParagraph"/>
              <w:numPr>
                <w:ilvl w:val="0"/>
                <w:numId w:val="10"/>
              </w:numPr>
            </w:pPr>
            <w:r>
              <w:rPr/>
              <w:t xml:space="preserve">zuren  +  basen</w:t>
            </w:r>
          </w:p>
          <w:p>
            <w:pPr>
              <w:pStyle w:val="ListParagraph"/>
              <w:numPr>
                <w:ilvl w:val="0"/>
                <w:numId w:val="10"/>
              </w:numPr>
            </w:pPr>
            <w:r>
              <w:rPr/>
              <w:t xml:space="preserve">ionisatie- en dissociatiereacties</w:t>
            </w:r>
          </w:p>
          <w:p>
            <w:pPr>
              <w:pStyle w:val="ListParagraph"/>
              <w:numPr>
                <w:ilvl w:val="0"/>
                <w:numId w:val="10"/>
              </w:numPr>
            </w:pPr>
            <w:r>
              <w:rPr/>
              <w:t xml:space="preserve">volledige en onvolledige verbranding van alkanen</w:t>
            </w:r>
          </w:p>
          <w:p>
            <w:pPr>
              <w:pStyle w:val="ListParagraph"/>
              <w:numPr>
                <w:ilvl w:val="0"/>
                <w:numId w:val="10"/>
              </w:numPr>
            </w:pPr>
            <w:r>
              <w:rPr/>
              <w:t xml:space="preserve">oxidatie- en reductiereacties</w:t>
            </w:r>
          </w:p>
          <w:p>
            <w:pPr>
              <w:pStyle w:val="ListParagraph"/>
              <w:numPr>
                <w:ilvl w:val="0"/>
                <w:numId w:val="10"/>
              </w:numPr>
            </w:pPr>
            <w:r>
              <w:rPr/>
              <w:t xml:space="preserve">eenvoudige essentiële ionenreacties en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reactiepatronen herkennen, noteren en/of vervolledigen en interpreteren met de juiste chemische formules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REACTIESOORTEN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 , synthese- en analysereacties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in waarnemingen of beeldfragmenten uit het dagelijks leven met behulp van de oplosbaarheidstabel die je in bijlage vindt</w:t>
              <w:br/>
              <w:t xml:space="preserve"/>
              <w:br/>
              <w:t xml:space="preserve">afleiden uit de oplosbaarheidstabel of het samenbrengen van ionencombinaties al dan niet leidt tot de vorming van een onoplosbare stof</w:t>
              <w:br/>
              <w:t xml:space="preserve"/>
              <w:br/>
              <w:t xml:space="preserve">de betekenis van een neutralisatiereactie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energiediagrammen van 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energiediagrammen herkennen, benoemen, interpreteren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afleiden in eenvoudige redoxreacties</w:t>
              <w:br/>
              <w:t xml:space="preserve"/>
              <w:br/>
              <w:t xml:space="preserve">de betekenis van een redoxreactie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br/>
              <w:t xml:space="preserve"/>
              <w:br/>
              <w:t xml:space="preserve">het verband leggen tussen deze begrippen en de verandering van oxidatietrap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de reactiesnelheid: verdelingsgraad, temperatuur en katalysator</w:t>
              <w:br/>
              <w:t xml:space="preserve"/>
              <w:br/>
              <w:t xml:space="preserve">snelle en trage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reactiesnelheid beïnvloeden</w:t>
              <w:br/>
              <w:t xml:space="preserve"/>
              <w:br/>
              <w:t xml:space="preserve">beide typen van reacties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OPLOSPROCES VAN STOFFEN IN WATER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 en dissociëren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dissociëren van ionverbindingen en het ioniseren van polaire molecuulverbindingen verklaren wanneer deze oplossen in water</w:t>
              <w:br/>
              <w:t xml:space="preserve"/>
              <w:br/>
              <w:t xml:space="preserve">het verband leggen tussen het bindingstype van een stof en zijn elektrisch geleidingsvermogen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voor de oplosbaarheid van een stof in water: polariteit, temperatuur, emulgator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welke manier deze factoren de oplosbaarheid in water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binaire polaire en apolaire stoffen onderscheiden op basis van het verschil in elektronegatieve waarde, de gegeven ruimtelijke structuur en oplosbaarheid van de stof in water</w:t>
              <w:br/>
              <w:t xml:space="preserve"/>
              <w:br/>
              <w:t xml:space="preserve">aan de hand van de polariteit van stoffen verklaren of deze al dan niet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 en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Onder de rubriek 'Opdrachten', vind je de omschrijving van de onderzoeksopdracht en het sjabloon voor het verslag.</w:t>
        <w:br/>
        <w:t xml:space="preserve"/>
        <w:br/>
        <w:t xml:space="preserve">Maak je opdracht thuis, maak het verslag en laad de pdf van je verslag ten laatste 7 dagen voor het examen op in het EC-platform.</w:t>
        <w:br/>
        <w:t xml:space="preserve">Voorbeeld: je hebt op maandag 21 januari examen. Je laadt je verslag ten laatste op maandag 14 januari om 23.59 uur op</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1"/>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2"/>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3"/>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4"/>
              </w:numPr>
            </w:pPr>
            <w:r>
              <w:rPr/>
              <w:t xml:space="preserve">grafieken en tabellen op een correcte wetenschappelijke manier tekenen</w:t>
            </w:r>
          </w:p>
          <w:p>
            <w:pPr>
              <w:pStyle w:val="ListParagraph"/>
              <w:numPr>
                <w:ilvl w:val="0"/>
                <w:numId w:val="14"/>
              </w:numPr>
            </w:pPr>
            <w:r>
              <w:rPr/>
              <w:t xml:space="preserve">waarnemingen en resultaten met de juiste wetenschappelijke terminologie noteren</w:t>
            </w:r>
          </w:p>
          <w:p>
            <w:pPr>
              <w:pStyle w:val="ListParagraph"/>
              <w:numPr>
                <w:ilvl w:val="0"/>
                <w:numId w:val="14"/>
              </w:numPr>
            </w:pPr>
            <w:r>
              <w:rPr/>
              <w:t xml:space="preserve">waarnemingen en resultaten vergelijken met de hypothese of verwachting</w:t>
            </w:r>
          </w:p>
          <w:p>
            <w:pPr>
              <w:pStyle w:val="ListParagraph"/>
              <w:numPr>
                <w:ilvl w:val="0"/>
                <w:numId w:val="14"/>
              </w:numPr>
            </w:pPr>
            <w:r>
              <w:rPr/>
              <w:t xml:space="preserve">eventuele afwijkingen verklaren, mogelijke oorzaken zoeken</w:t>
            </w:r>
          </w:p>
          <w:p>
            <w:pPr>
              <w:pStyle w:val="ListParagraph"/>
              <w:numPr>
                <w:ilvl w:val="0"/>
                <w:numId w:val="14"/>
              </w:numPr>
            </w:pPr>
            <w:r>
              <w:rPr/>
              <w:t xml:space="preserve">je resultaten, waarnemingen en besluiten vergelijken met andere resultaten</w:t>
            </w:r>
          </w:p>
          <w:p>
            <w:pPr>
              <w:pStyle w:val="ListParagraph"/>
              <w:numPr>
                <w:ilvl w:val="0"/>
                <w:numId w:val="14"/>
              </w:numPr>
            </w:pPr>
            <w:r>
              <w:rPr/>
              <w:t xml:space="preserve">een antwoord formuleren op de onderzoeksvraag in de juiste wetenschappelijke terminologie</w:t>
            </w:r>
          </w:p>
          <w:p>
            <w:pPr>
              <w:pStyle w:val="ListParagraph"/>
              <w:numPr>
                <w:ilvl w:val="0"/>
                <w:numId w:val="14"/>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omschrijving van de opdracht hier als bijlage 1. </w:t>
      </w:r>
    </w:p>
    <w:p>
      <w:pPr>
        <w:jc w:val="both"/>
      </w:pPr>
      <w:r>
        <w:t xml:space="preserve">Maak het verslag van de onderzoeksopdracht in het sjabloon in bijlage 2.</w:t>
      </w:r>
    </w:p>
    <w:p>
      <w:pPr>
        <w:jc w:val="both"/>
      </w:pPr>
      <w:r>
        <w:t xml:space="preserve">Maak je opdracht thuis, maak het verslag en laad de pdf van je verslag ten laatste 7 dagen voor het examen op in het EC-platform. </w:t>
        <w:br/>
        <w:t>Voorbeeld: je hebt op maandag 21 januari examen. Je laadt je verslag ten laatste op maandag 14 januari om 23.59 uur op</w:t>
      </w:r>
    </w:p>
    <w:p>
      <w:pPr>
        <w:jc w:val="both"/>
      </w:pPr>
      <w:r>
        <w:t xml:space="preserve"/>
      </w:r>
    </w:p>
    <w:p>
      <w:pPr>
        <w:jc w:val="both"/>
      </w:pPr>
      <w:r>
        <w:t xml:space="preserve"/>
      </w:r>
    </w:p>
    <w:p>
      <w:pPr>
        <w:jc w:val="both"/>
      </w:pPr>
      <w:r>
        <w:t xml:space="preserve"/>
      </w:r>
      <w:r w:rsidRPr="003E4776">
        <w:t/>
      </w:r>
    </w:p>
    <w:p w14:paraId="5B5E3ED3" w14:textId="0FE7D0D3" w:rsidR="0076163F" w:rsidRDefault="0076163F" w:rsidP="0076163F">
      <w:r w:rsidRPr="003E4776">
        <w:t/>
      </w:r>
      <w:r>
        <w:t>Bijlage 1 Onderzoeksopdracht chemie aangepaste evaluatie.pdf</w:t>
      </w:r>
      <w:r w:rsidRPr="003E4776">
        <w:t/>
      </w:r>
    </w:p>
    <w:p w14:paraId="5B5E3ED3" w14:textId="0FE7D0D3" w:rsidR="0076163F" w:rsidRDefault="0076163F" w:rsidP="0076163F">
      <w:r w:rsidRPr="003E4776">
        <w:t/>
      </w:r>
      <w:r>
        <w:t>Bijlage 2 Verslag Onderzoeksopdracht chemie.docx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Chemie 2aso formularium.pdf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chemie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de formularia die je vindt als bijlagen in de vakfiche.</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Ion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weg met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essentiële elementen van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ASP editions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www.aspeditions.be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