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onderzoeksmethode te benaderen. In de bijlages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Lees de omschrijving van de onderzoeksopdracht in bijlage 1.</w:t>
        <w:br/>
        <w:t>Maak het verslag van de onderzoeksopdracht in het sjabloon in bijlage 2.</w:t>
      </w:r>
      <w:r w:rsidRPr="003E4776">
        <w:t/>
      </w:r>
    </w:p>
    <w:p w14:paraId="5B5E3ED3" w14:textId="0FE7D0D3" w:rsidR="0076163F" w:rsidRDefault="0076163F" w:rsidP="0076163F">
      <w:r w:rsidRPr="003E4776">
        <w:t/>
      </w:r>
      <w:r>
        <w:t>Bijlage 1 Onderzoeksopdracht biologie- 2022.pdf</w:t>
      </w:r>
      <w:r w:rsidRPr="003E4776">
        <w:t/>
      </w:r>
    </w:p>
    <w:p w14:paraId="5B5E3ED3" w14:textId="0FE7D0D3" w:rsidR="0076163F" w:rsidRDefault="0076163F" w:rsidP="0076163F">
      <w:r w:rsidRPr="003E4776">
        <w:t/>
      </w:r>
      <w:r>
        <w:t>Bijlage 2 Verslag onderzoeksopdracht biologie-2022.docx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 rekenmachine beschikbaar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vinden via een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Xpeditie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T: +32 3 660 27 20</w:t>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gratis hulplijn: 0800 99 084</w:t>
              <w:br/>
              <w:t xml:space="preserve">service@plantyn.com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informatie vinden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