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groep van de creatieve vakken 3 kso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2019 tot en met 31 december  2019</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kso</w:t>
      </w:r>
    </w:p>
    <w:p w14:paraId="6F9C7D5A" w14:textId="79849158" w:rsidR="006A6801" w:rsidRDefault="00EB0FCA" w:rsidP="004B5B24">
      <w:pPr>
        <w:pStyle w:val="ListParagraph"/>
        <w:spacing w:after="160" w:line="259" w:lineRule="auto"/>
        <w:ind w:left="708" w:firstLine="708"/>
      </w:pPr>
      <w:r w:rsidRPr="00646AC9">
        <w:rPr>
          <w:color w:val="00B050"/>
        </w:rPr>
        <w:t/>
      </w:r>
      <w:r>
        <w:t>Muziek (*stopt in 2025)</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Leerplannen</w:t>
      </w:r>
      <w:r w:rsidR="00AF709A">
        <w:t xml:space="preserve"> </w:t>
      </w:r>
      <w:r w:rsidR="0034339E">
        <w:t xml:space="preserve">: </w:t>
      </w:r>
      <w:r>
        <w:t>Leerplan VVKSO kso 3 Muziek – Brussel D/2012/7841/039</w:t>
        <w:br/>
        <w:t>Leerplan GO! 3de graad kso - Creatief musiceren 97058</w:t>
        <w:br/>
        <w:t>Leerplan GO! 3de graad kso - Voordracht en Welsprekendheid 94047</w:t>
        <w:br/>
        <w:t>Leerplan GO! 3de graad kso - Koorzang 97065</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De studierichting Muziek kso omvat in het specifieke gedeelte een veelzijdig artistiek palet van zowel vocale als instrumentale expressievormen. Naast de algemene muzikale onderdelen word je geacht voldoende competenties te beschikken in de keuze van het hoofdinstrument.</w:t>
        <w:br/>
        <w:t xml:space="preserve"/>
        <w:br/>
        <w:t xml:space="preserve"/>
        <w:br/>
        <w:t xml:space="preserve">De grondigere voorbereiding die sommige vakken nodig hebben (onder andere de hoofddiscipline), is nodig voor de productevaluatie van de Examencommissie. Een grondige individuele voorbereiding van de muziektheorie en het instrument gaan hand in hand met het proces van het samen musiceren zoals in de vakken koorzang, instrumentaal ensemble, zangproef notenleer of instrumentaal ensemble.</w:t>
        <w:br/>
        <w:t xml:space="preserve"/>
        <w:br/>
        <w:t xml:space="preserve"/>
        <w:br/>
        <w:t xml:space="preserve">Dit niveau verwerf je met muziektechnische bagage op psychomotorisch niveau met de noodzakelijke vaardigheden om het muzikaal verwerken mogelijk te maken (mede door de omringingsvakken). Je moet je ook kunnen inleven in een compositie (affectief niveau) en deze op een artistiek verantwoorde wijze interpreteren. Deze niveaus lopen in de praktijk door elkaar en worden niet afzonderlijk behandeld.</w:t>
        <w:br/>
        <w:t xml:space="preserve"/>
        <w:br/>
        <w:t xml:space="preserve"/>
        <w:br/>
        <w:t xml:space="preserve">Je moet probleemoplossend kunnen denken. Om je op dit muzikaal technisch en communicatief niveau te brengen, verwachten we dat je je zelfstandig kan voorbereiden en in staat bent je persoonlijk en artistiek op voldoende niveau uit te drukken. Ook moet je de gevraagde documenten op de dag van het examen kunnen overhandigen.</w:t>
        <w:br/>
        <w:t xml:space="preserve"/>
        <w:br/>
        <w:t xml:space="preserve"/>
        <w:br/>
        <w:t xml:space="preserve">In het vak '</w:t>
      </w:r>
      <w:r>
        <w:rPr>
          <w:i/>
        </w:rPr>
        <w:t xml:space="preserve">Creatief musiceren</w:t>
      </w:r>
      <w:r>
        <w:rPr/>
        <w:t xml:space="preserve">' mag je creatief omspringen met alle realistische middelen en het grafisch voelbaar weergeven in een partituur zonder muziektekens. Je combineert zinnen, thema's, vormen en ritmische figuren op een correcte creatieve manier.</w:t>
        <w:br/>
        <w:t xml:space="preserve"/>
        <w:br/>
        <w:t xml:space="preserve"/>
        <w:br/>
        <w:t xml:space="preserve">Bij het vak '</w:t>
      </w:r>
      <w:r>
        <w:rPr>
          <w:i/>
        </w:rPr>
        <w:t xml:space="preserve">Koorzang</w:t>
      </w:r>
      <w:r>
        <w:rPr/>
        <w:t xml:space="preserve">' mag je uit een koorpartituur je eigen stem selecteren en deze melodielijn zingen in een correcte taal met besef van de inhoud van de tekst. Je hebt kennis over het leven, de stijl en andere belangrijkste werken van de componist en zijn/haar tijdgenoten.</w:t>
        <w:br/>
        <w:t xml:space="preserve"/>
        <w:br/>
        <w:t xml:space="preserve"/>
        <w:br/>
        <w:t xml:space="preserve">Je kan in het vak '</w:t>
      </w:r>
      <w:r>
        <w:rPr>
          <w:i/>
        </w:rPr>
        <w:t xml:space="preserve">Dictie</w:t>
      </w:r>
      <w:r>
        <w:rPr/>
        <w:t xml:space="preserve">' jezelf met een duidelijke en klare stem tot een publiek richten met een correct Nederlands taalgebruik. Je stelt jezelf voor of leest een literair stukje voor in het correct Nederlands en niet in je eigen dialect of tussentaal die bij het dialect aanleunt.</w:t>
        <w:br/>
        <w:t xml:space="preserve"/>
        <w:br/>
        <w:t xml:space="preserve"/>
        <w:br/>
        <w:t xml:space="preserve">De einddoelstelling van dit deel is om voldoende bagage mee te geven om de leerstof verder te kunnen verfijnen en aan zelfstandig onderzoek te doen. Deze attitude, de verzelfstandiging van het artistieke leerproces, dient om je goed te kunnen voorbereiden op de artistieke uitvoering (het product).</w:t>
        <w:br/>
        <w:t xml:space="preserve"> </w:t>
        <w:br/>
        <w:t xml:space="preserve"/>
        <w:br/>
        <w:t xml:space="preserve">De vakfiches KSO 3 Muziek omvatten de vakken van de richting klassiek en niet de richtingen jazz/lichte muziek en musical.</w:t>
      </w:r>
    </w:p>
    <w:p>
      <w:r>
        <w:rPr/>
        <w:t xml:space="preserve"/>
      </w:r>
      <w:r>
        <w:rPr>
          <w:color w:val="00B050"/>
        </w:rPr>
        <w:t/>
      </w:r>
    </w:p>
    <w:p w14:paraId="70391787" w14:textId="3DB223A8" w:rsidR="00047953" w:rsidRDefault="001D02B3" w:rsidP="0082741A">
      <w:r>
        <w:rPr>
          <w:color w:val="00B050"/>
        </w:rPr>
        <w:t/>
      </w:r>
      <w:r>
        <w:t/>
      </w:r>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Creatief musiceren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Koorzang</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Dictie</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Creatief musiceren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ritmisch en melodisch:</w:t>
            </w:r>
          </w:p>
          <w:p>
            <w:pPr>
              <w:pStyle w:val="ListParagraph"/>
              <w:numPr>
                <w:ilvl w:val="0"/>
                <w:numId w:val="8"/>
              </w:numPr>
            </w:pPr>
            <w:r>
              <w:rPr/>
              <w:t xml:space="preserve">onderzoeken van de verschillende mogelijkheden met slagvlakken</w:t>
            </w:r>
          </w:p>
          <w:p>
            <w:pPr>
              <w:pStyle w:val="ListParagraph"/>
              <w:numPr>
                <w:ilvl w:val="0"/>
                <w:numId w:val="8"/>
              </w:numPr>
            </w:pPr>
            <w:r>
              <w:rPr/>
              <w:t xml:space="preserve">ritmisch 'voor’ en 'na’</w:t>
            </w:r>
          </w:p>
          <w:p>
            <w:pPr>
              <w:pStyle w:val="ListParagraph"/>
              <w:numPr>
                <w:ilvl w:val="0"/>
                <w:numId w:val="8"/>
              </w:numPr>
            </w:pPr>
            <w:r>
              <w:rPr/>
              <w:t xml:space="preserve">ritmisch vraag en antwoord</w:t>
            </w:r>
          </w:p>
          <w:p>
            <w:pPr>
              <w:pStyle w:val="ListParagraph"/>
              <w:numPr>
                <w:ilvl w:val="0"/>
                <w:numId w:val="8"/>
              </w:numPr>
            </w:pPr>
            <w:r>
              <w:rPr/>
              <w:t xml:space="preserve">ritmisch ostinato</w:t>
            </w:r>
          </w:p>
          <w:p>
            <w:pPr>
              <w:pStyle w:val="ListParagraph"/>
              <w:numPr>
                <w:ilvl w:val="0"/>
                <w:numId w:val="8"/>
              </w:numPr>
            </w:pPr>
            <w:r>
              <w:rPr/>
              <w:t xml:space="preserve">ABA-vorm</w:t>
            </w:r>
          </w:p>
          <w:p>
            <w:pPr>
              <w:pStyle w:val="ListParagraph"/>
              <w:numPr>
                <w:ilvl w:val="0"/>
                <w:numId w:val="8"/>
              </w:numPr>
            </w:pPr>
            <w:r>
              <w:rPr/>
              <w:t xml:space="preserve">eenvoudige ritmische canon</w:t>
            </w:r>
          </w:p>
          <w:p>
            <w:pPr>
              <w:pStyle w:val="ListParagraph"/>
              <w:numPr>
                <w:ilvl w:val="0"/>
                <w:numId w:val="8"/>
              </w:numPr>
            </w:pPr>
            <w:r>
              <w:rPr/>
              <w:t xml:space="preserve">rondo</w:t>
            </w:r>
          </w:p>
          <w:p>
            <w:pPr>
              <w:pStyle w:val="ListParagraph"/>
              <w:numPr>
                <w:ilvl w:val="0"/>
                <w:numId w:val="8"/>
              </w:numPr>
            </w:pPr>
            <w:r>
              <w:rPr/>
              <w:t xml:space="preserve">vindinstrumenten</w:t>
            </w:r>
          </w:p>
          <w:p>
            <w:pPr>
              <w:pStyle w:val="ListParagraph"/>
              <w:numPr>
                <w:ilvl w:val="0"/>
                <w:numId w:val="8"/>
              </w:numPr>
            </w:pPr>
            <w:r>
              <w:rPr/>
              <w:t xml:space="preserve">klein slagwerk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ritmische en melodische structuren uitvoeren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ritmische en melodische structuren imiteren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ritmische en melodische structuren vervolledigen</w:t>
              <w:br/>
              <w:t xml:space="preserv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muzikale vormen (canon, ABA-vorm, rondovorm) herkennen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ritmisch en melodisch improviseren en experimenteren met lichaamsinstrumenten, vindingsinstrumenten, Orff en andere instrumenten en met de stem</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Carl Orff en het instrumentarium</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begeleidingstechnieken (ostinaat, tonica-begeleiding, bourdon) herkennen en toepassen op klein slagwerk en staafspellen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gekende muzikale technieken vindingrijk gebruiken en tot een kleine compositie uitvoeren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Carl Orff-instrumenten en teksten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Orff-instrumenten herkennen en bespelen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teksten en beelden interpreteren en op verantwoorde manier muzikaal toepassen (ritmeren)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voor verscheidene muziekstijlen openstaan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toonsoorten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bepaalde toonsoorten onderscheiden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muzikale zinnen in eenvoudige toonsoorten uitvoeren (hoogstens één # of één b)</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eenvoudige I-IV-V begeleidingen bij deze muzikale zinnen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tonale melodieën op reeds geritmeerde teksten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teksten in strofen en refrein structureren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parameters van de dynamiek:</w:t>
            </w:r>
          </w:p>
          <w:p>
            <w:pPr>
              <w:pStyle w:val="ListParagraph"/>
              <w:numPr>
                <w:ilvl w:val="0"/>
                <w:numId w:val="9"/>
              </w:numPr>
            </w:pPr>
            <w:r>
              <w:rPr/>
              <w:t xml:space="preserve">duur</w:t>
            </w:r>
          </w:p>
          <w:p>
            <w:pPr>
              <w:pStyle w:val="ListParagraph"/>
              <w:numPr>
                <w:ilvl w:val="0"/>
                <w:numId w:val="9"/>
              </w:numPr>
            </w:pPr>
            <w:r>
              <w:rPr/>
              <w:t xml:space="preserve">hoogte</w:t>
            </w:r>
          </w:p>
          <w:p>
            <w:pPr>
              <w:pStyle w:val="ListParagraph"/>
              <w:numPr>
                <w:ilvl w:val="0"/>
                <w:numId w:val="9"/>
              </w:numPr>
            </w:pPr>
            <w:r>
              <w:rPr/>
              <w:t xml:space="preserve">kleur</w:t>
            </w:r>
          </w:p>
          <w:p>
            <w:pPr>
              <w:pStyle w:val="ListParagraph"/>
              <w:numPr>
                <w:ilvl w:val="0"/>
                <w:numId w:val="9"/>
              </w:numPr>
            </w:pPr>
            <w:r>
              <w:rPr/>
              <w:t xml:space="preserve">samenklank</w:t>
            </w:r>
          </w:p>
          <w:p>
            <w:pPr>
              <w:pStyle w:val="ListParagraph"/>
              <w:numPr>
                <w:ilvl w:val="0"/>
                <w:numId w:val="9"/>
              </w:numPr>
            </w:pPr>
            <w:r>
              <w:rPr/>
              <w:t xml:space="preserve">tempo</w:t>
            </w:r>
          </w:p>
          <w:p>
            <w:pPr>
              <w:pStyle w:val="ListParagraph"/>
              <w:numPr>
                <w:ilvl w:val="0"/>
                <w:numId w:val="9"/>
              </w:numPr>
            </w:pPr>
            <w:r>
              <w:rP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verschillende muzikale parameters van de dynamiek (duur, hoogte, kleur, samenklank, tempo, …)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opbouw van klankspelen met steeds wisselende parameters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creaties met fragmenten uit de bestaande literatuur vergelijken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avant-garde technieken:</w:t>
            </w:r>
          </w:p>
          <w:p>
            <w:pPr>
              <w:pStyle w:val="ListParagraph"/>
              <w:numPr>
                <w:ilvl w:val="0"/>
                <w:numId w:val="10"/>
              </w:numPr>
            </w:pPr>
            <w:r>
              <w:rPr/>
              <w:t xml:space="preserve">nieuwe samenklanken</w:t>
            </w:r>
          </w:p>
          <w:p>
            <w:pPr>
              <w:pStyle w:val="ListParagraph"/>
              <w:numPr>
                <w:ilvl w:val="0"/>
                <w:numId w:val="10"/>
              </w:numPr>
            </w:pPr>
            <w:r>
              <w:rPr/>
              <w:t xml:space="preserve">opbouw van klankspelen</w:t>
            </w:r>
          </w:p>
          <w:p>
            <w:pPr>
              <w:pStyle w:val="ListParagraph"/>
              <w:numPr>
                <w:ilvl w:val="0"/>
                <w:numId w:val="10"/>
              </w:numPr>
            </w:pPr>
            <w:r>
              <w:rPr/>
              <w:t xml:space="preserve">grafische partituur</w:t>
            </w:r>
          </w:p>
          <w:p>
            <w:pPr>
              <w:pStyle w:val="ListParagraph"/>
              <w:numPr>
                <w:ilvl w:val="0"/>
                <w:numId w:val="10"/>
              </w:numPr>
            </w:pPr>
            <w:r>
              <w:rPr/>
              <w:t xml:space="preserve">ongebruikelijke speelwijze van de instrumenten</w:t>
            </w:r>
          </w:p>
          <w:p>
            <w:pPr>
              <w:pStyle w:val="ListParagraph"/>
              <w:numPr>
                <w:ilvl w:val="0"/>
                <w:numId w:val="10"/>
              </w:numPr>
            </w:pPr>
            <w:r>
              <w:rPr/>
              <w:t xml:space="preserve">technieken uit bestaande literatuur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nieuwe samenklanken (cluster, glijdende klank, ...)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opbouw van klankspelen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grafische notatie/notenbeeld analyseren en interpreteren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grafische notatie/notenbeeld toepassen en verantwoorden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ongebruikelijke speelwijze van de instrumenten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technieken uit bestaande literatuur (repetitieve muziek, toevalsmuziek, …) onderzoeken en verwerken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geluiden die met behulp van de stem gerealiseerd kunnen worden, inventariseren en passende symbolen voor deze geluiden zoeken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spelingen met teksten (bijvoorbeeld herhalen van bepaalde medeklinkers, herhalen van lettergrepen, dynamische hoogteverschillen)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Koorzang</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gehoor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gehoor verfijnd toepassen (intonatie, harmonisch gevoel, ritmegevoel, tekstuitspraak, articulatie, relatie tekst/muziek, analytisch inzicht)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notenbeeld/grafische notatie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notenbeeld/grafische notatie analyseren, interpreteren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genres en stijlen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gevarieerd aanbod van genres en stijlen (in groepsverband) uitvoeren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repertoirevorming:</w:t>
            </w:r>
          </w:p>
          <w:p>
            <w:pPr>
              <w:pStyle w:val="ListParagraph"/>
              <w:numPr>
                <w:ilvl w:val="0"/>
                <w:numId w:val="11"/>
              </w:numPr>
            </w:pPr>
            <w:r>
              <w:rPr/>
              <w:t xml:space="preserve">éénstemmige liederen (a capella – met begeleiding)</w:t>
            </w:r>
          </w:p>
          <w:p>
            <w:pPr>
              <w:pStyle w:val="ListParagraph"/>
              <w:numPr>
                <w:ilvl w:val="0"/>
                <w:numId w:val="11"/>
              </w:numPr>
            </w:pPr>
            <w:r>
              <w:rPr/>
              <w:t xml:space="preserve">eenvoudige vormen van meerstemmigheid (tonica-dominantbegeleiding, bourdon, ostinatogebruik)</w:t>
            </w:r>
          </w:p>
          <w:p>
            <w:pPr>
              <w:pStyle w:val="ListParagraph"/>
              <w:numPr>
                <w:ilvl w:val="0"/>
                <w:numId w:val="11"/>
              </w:numPr>
            </w:pPr>
            <w:r>
              <w:rPr/>
              <w:t xml:space="preserve">canons</w:t>
            </w:r>
          </w:p>
          <w:p>
            <w:pPr>
              <w:pStyle w:val="ListParagraph"/>
              <w:numPr>
                <w:ilvl w:val="0"/>
                <w:numId w:val="11"/>
              </w:numPr>
            </w:pPr>
            <w:r>
              <w:rPr/>
              <w:t xml:space="preserve">quodlibets</w:t>
            </w:r>
          </w:p>
          <w:p>
            <w:pPr>
              <w:pStyle w:val="ListParagraph"/>
              <w:numPr>
                <w:ilvl w:val="0"/>
                <w:numId w:val="11"/>
              </w:numPr>
            </w:pPr>
            <w:r>
              <w:rPr/>
              <w:t xml:space="preserve">enkele spreekkoren</w:t>
            </w:r>
          </w:p>
          <w:p>
            <w:pPr>
              <w:pStyle w:val="ListParagraph"/>
              <w:numPr>
                <w:ilvl w:val="0"/>
                <w:numId w:val="11"/>
              </w:numPr>
            </w:pPr>
            <w:r>
              <w:rPr/>
              <w:t xml:space="preserve">homofone koorcomposities</w:t>
            </w:r>
          </w:p>
          <w:p>
            <w:pPr>
              <w:pStyle w:val="ListParagraph"/>
              <w:numPr>
                <w:ilvl w:val="0"/>
                <w:numId w:val="11"/>
              </w:numPr>
            </w:pPr>
            <w:r>
              <w:rPr/>
              <w:t xml:space="preserve">polyfone koorcomposities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repertoire van verschillende stijlen en genres ontwikkelen en muzikaal begeleiden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Dictie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soorten taal:</w:t>
            </w:r>
          </w:p>
          <w:p>
            <w:pPr>
              <w:pStyle w:val="ListParagraph"/>
              <w:numPr>
                <w:ilvl w:val="0"/>
                <w:numId w:val="12"/>
              </w:numPr>
            </w:pPr>
            <w:r>
              <w:rPr/>
              <w:t xml:space="preserve">verbale taal</w:t>
            </w:r>
          </w:p>
          <w:p>
            <w:pPr>
              <w:pStyle w:val="ListParagraph"/>
              <w:numPr>
                <w:ilvl w:val="0"/>
                <w:numId w:val="12"/>
              </w:numPr>
            </w:pPr>
            <w:r>
              <w:rPr/>
              <w:t xml:space="preserve">non-verbale taal</w:t>
            </w:r>
          </w:p>
          <w:p>
            <w:pPr>
              <w:pStyle w:val="ListParagraph"/>
              <w:numPr>
                <w:ilvl w:val="0"/>
                <w:numId w:val="12"/>
              </w:numPr>
            </w:pPr>
            <w:r>
              <w:rPr/>
              <w:t xml:space="preserve">analoge taal</w:t>
            </w:r>
          </w:p>
          <w:p>
            <w:pPr>
              <w:pStyle w:val="ListParagraph"/>
              <w:numPr>
                <w:ilvl w:val="0"/>
                <w:numId w:val="12"/>
              </w:numPr>
            </w:pPr>
            <w:r>
              <w:rPr/>
              <w:t xml:space="preserve">digitale taal</w:t>
            </w:r>
          </w:p>
          <w:p>
            <w:pPr>
              <w:pStyle w:val="ListParagraph"/>
              <w:numPr>
                <w:ilvl w:val="0"/>
                <w:numId w:val="12"/>
              </w:numPr>
            </w:pPr>
            <w:r>
              <w:rPr/>
              <w:t xml:space="preserve">levende taal</w:t>
            </w:r>
          </w:p>
          <w:p>
            <w:pPr>
              <w:pStyle w:val="ListParagraph"/>
              <w:numPr>
                <w:ilvl w:val="0"/>
                <w:numId w:val="12"/>
              </w:numPr>
            </w:pPr>
            <w:r>
              <w:rPr/>
              <w:t xml:space="preserve">dode taal</w:t>
            </w:r>
          </w:p>
          <w:p>
            <w:pPr>
              <w:pStyle w:val="ListParagraph"/>
              <w:numPr>
                <w:ilvl w:val="0"/>
                <w:numId w:val="12"/>
              </w:numPr>
            </w:pPr>
            <w:r>
              <w:rPr/>
              <w:t xml:space="preserve">streektaal</w:t>
            </w:r>
          </w:p>
          <w:p>
            <w:pPr>
              <w:pStyle w:val="ListParagraph"/>
              <w:numPr>
                <w:ilvl w:val="0"/>
                <w:numId w:val="12"/>
              </w:numPr>
            </w:pPr>
            <w:r>
              <w:rPr/>
              <w:t xml:space="preserve">standaardtaal</w:t>
            </w:r>
          </w:p>
          <w:p>
            <w:pPr>
              <w:pStyle w:val="ListParagraph"/>
              <w:numPr>
                <w:ilvl w:val="0"/>
                <w:numId w:val="12"/>
              </w:numPr>
            </w:pPr>
            <w:r>
              <w:rPr/>
              <w:t xml:space="preserve">schrijftaal</w:t>
            </w:r>
          </w:p>
          <w:p>
            <w:pPr>
              <w:pStyle w:val="ListParagraph"/>
              <w:numPr>
                <w:ilvl w:val="0"/>
                <w:numId w:val="12"/>
              </w:numPr>
            </w:pPr>
            <w:r>
              <w:rPr/>
              <w:t xml:space="preserve">spreektaal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soorten taal herkennen, begrijpen, ordenen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taaltekens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meerduidig of gelaagd gebruik van taaltekens herkennen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belang van de context bij het coderen of decoderen van taaltekens herkennen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argumentatieleer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gebruik van taalhandelingen met louter communicatief of met interactioneel effect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individuele standpunten formuleren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individueel betoog (individuele uiteenzettingen, gelegenheidstoespraken) uitvoeren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gebruik van taalhandelingen begrijpen en toepassen in betogen en discussies (classificatie van argumenten, argumentatietypes en bewijsgronden, gebruik van stijlfiguren, opsporen van drogredeneringen)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voordracht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waardevolle teksten publieksgericht op een doorleefde manier voordragen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gepaste spreektechniek en de uitspraak van het Algemeen Nederlands spontaan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teksten op expressieve wijze verklanken en vertolken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inzicht hebben in een aanzienlijke diversiteit aan tekstuele werkvormen en literaire stijlperioden (de evolutie van de Nederlandse poëzie in het bijzonder)</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opdracht bij het onderdeel ‘creatief musiceren’- soundscape: </w:t>
        <w:br/>
        <w:t>Je kiest één thema uit één van de onderwerpen die je na inschrijving ontvangt via het platform enkele weken vóór de effectieve examendatum. Je maakt er een grafische partituur (+ één kopie voor de jury) bij. Je brengt deze twee partituren (één kopie voor jezelf en één kopie voor de jury) EN jouw instrumentarium mee. </w:t>
      </w:r>
    </w:p>
    <w:p>
      <w:pPr>
        <w:jc w:val="both"/>
      </w:pPr>
      <w:r>
        <w:t xml:space="preserve">•	opdracht bij het onderdeel ‘koorzang’: </w:t>
        <w:br/>
        <w:t>Je zoekt zes koorwerken van diverse stijlen en brengt deze mee (één kopie voor jezelf en één kopie voor de jury). </w:t>
      </w:r>
    </w:p>
    <w:p>
      <w:pPr>
        <w:jc w:val="both"/>
      </w:pPr>
      <w:r>
        <w:t xml:space="preserve">•	opdracht bij het onderdeel ‘dictie’: </w:t>
        <w:br/>
        <w:t>Je bereidt je persoonlijke voorstelling voor. Je brengt ook een eigen tekst mee van een literair niveau (één kopie voor jezelf en één kopie voor de jury). </w:t>
      </w:r>
    </w:p>
    <w:p>
      <w:pPr>
        <w:jc w:val="both"/>
      </w:pPr>
      <w:r>
        <w:t xml:space="preserve">Niet enkel de technische vaardigheden, maar ook de muzikaliteit van de uitvoering en het structureel inzicht worden eveneens beoordeeld. </w:t>
      </w:r>
    </w:p>
    <w:p>
      <w:pPr>
        <w:jc w:val="both"/>
      </w:pPr>
      <w:r>
        <w:t xml:space="preserve">Deze opdrachten worden meer gedetailleerd besproken bij 'Hoe verloopt het examen?.</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180 minuten voor examens vanaf 01-01-2019 tot 31-12-2019</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duurt in totaal ongeveer 30 minuten al naargelang je oeuvre.</w:t>
      </w:r>
    </w:p>
    <w:p>
      <w:pPr>
        <w:jc w:val="both"/>
      </w:pPr>
      <w:r>
        <w:t xml:space="preserve"/>
      </w:r>
    </w:p>
    <w:p>
      <w:pPr>
        <w:jc w:val="both"/>
      </w:pPr>
      <w:r>
        <w:t xml:space="preserve">Het examen gaat door op een externe locatie. De locatie en uren worden meegedeeld op het platform vanaf het moment dat je jezelf inschrijft voor dit vak. </w:t>
      </w:r>
    </w:p>
    <w:p>
      <w:pPr>
        <w:jc w:val="both"/>
      </w:pPr>
      <w:r>
        <w:t xml:space="preserve"/>
      </w:r>
    </w:p>
    <w:p>
      <w:pPr>
        <w:jc w:val="both"/>
      </w:pPr>
      <w:r>
        <w:t xml:space="preserve">- Verloop onderdeel 'creatief musiceren': </w:t>
      </w:r>
    </w:p>
    <w:p>
      <w:pPr>
        <w:jc w:val="both"/>
      </w:pPr>
      <w:r>
        <w:t xml:space="preserve">•	Je maakt een soundscape (een auditieve ruimtespectrum creëren door een instrumentarium – je creëert een primitieve auditieve architectuur). </w:t>
      </w:r>
    </w:p>
    <w:p>
      <w:pPr>
        <w:jc w:val="both"/>
      </w:pPr>
      <w:r>
        <w:t xml:space="preserve">•	Duur: ongeveer drie minuten. </w:t>
      </w:r>
    </w:p>
    <w:p>
      <w:pPr>
        <w:jc w:val="both"/>
      </w:pPr>
      <w:r>
        <w:t xml:space="preserve">•	Je gebruikt minstens één zelfgemaakt instrument.</w:t>
      </w:r>
    </w:p>
    <w:p>
      <w:pPr>
        <w:jc w:val="both"/>
      </w:pPr>
      <w:r>
        <w:t xml:space="preserve">•	De andere instrumenten haal je uit de natuur, huis/tuin/keuken, … .</w:t>
      </w:r>
    </w:p>
    <w:p>
      <w:pPr>
        <w:jc w:val="both"/>
      </w:pPr>
      <w:r>
        <w:t xml:space="preserve">•	Je mag eveneens impulsen creëren met je hoofd- of neveninstrument.</w:t>
      </w:r>
    </w:p>
    <w:p>
      <w:pPr>
        <w:jc w:val="both"/>
      </w:pPr>
      <w:r>
        <w:t xml:space="preserve">•	Je moet een contrastrijke structuur nastreven.</w:t>
      </w:r>
    </w:p>
    <w:p>
      <w:pPr>
        <w:jc w:val="both"/>
      </w:pPr>
      <w:r>
        <w:t xml:space="preserve">•	Je zet de verschillende fragmenten met hun details om in een grafische partituur (kleuren,    grafische tekens) in een relatie tot welk effect je hoort of ziet. Bij voorkeur geen tekens uit de officiële muzieknotatie gebruiken. </w:t>
      </w:r>
    </w:p>
    <w:p>
      <w:pPr>
        <w:jc w:val="both"/>
      </w:pPr>
      <w:r>
        <w:t xml:space="preserve">•	Elementaire improvisaties gebruiken met behulp van eigen slagwerk (vingers, handen, knieën, voeten,…), klein slagwerk (handtrom, slagstaven,…), staven (klokkenstaaf, metallofoon, xylofoonstaaf;…) of met behulp van je stem (ritmische of melodische kern, tekst, rappen, ostinato, variaties, vrije improvisatie,… .</w:t>
      </w:r>
    </w:p>
    <w:p>
      <w:pPr>
        <w:jc w:val="both"/>
      </w:pPr>
      <w:r>
        <w:t xml:space="preserve">•	Je creëert een voor- en een naspel.</w:t>
      </w:r>
    </w:p>
    <w:p>
      <w:pPr>
        <w:jc w:val="both"/>
      </w:pPr>
      <w:r>
        <w:t xml:space="preserve">•	Je brengt het instrumentarium mee voor het onderdeel 'creatief musiceren' en installeert je tot deze installatie gebruiksklaar is voor de uitvoering van jouw grafische partituur. </w:t>
      </w:r>
    </w:p>
    <w:p>
      <w:pPr>
        <w:jc w:val="both"/>
      </w:pPr>
      <w:r>
        <w:t xml:space="preserve"/>
      </w:r>
    </w:p>
    <w:p>
      <w:pPr>
        <w:jc w:val="both"/>
      </w:pPr>
      <w:r>
        <w:t xml:space="preserve">- Verloop onderdeel 'koorzang':</w:t>
      </w:r>
    </w:p>
    <w:p>
      <w:pPr>
        <w:jc w:val="both"/>
      </w:pPr>
      <w:r>
        <w:t xml:space="preserve">•	Je legt een zelfgekozen repertoire voor van zes liederen.</w:t>
      </w:r>
    </w:p>
    <w:p>
      <w:pPr>
        <w:jc w:val="both"/>
      </w:pPr>
      <w:r>
        <w:t xml:space="preserve">•	De werken in het repertoire komen uit verschillende stijlperiodes en genres (gregoriaans, polyfonie, Bach, renaissance, barok, klassiek, romantiek, (post-)moderne literatuur).</w:t>
      </w:r>
    </w:p>
    <w:p>
      <w:pPr>
        <w:jc w:val="both"/>
      </w:pPr>
      <w:r>
        <w:t xml:space="preserve">•	Je zingt jouw eigen stempartij met ondersteuning van de instrumentele vaardigheden (ontspanning, steun, ademhaling, stemplaatsing). </w:t>
      </w:r>
    </w:p>
    <w:p>
      <w:pPr>
        <w:jc w:val="both"/>
      </w:pPr>
      <w:r>
        <w:t xml:space="preserve">•	Tekstbegrip en -interpretatie komen tot uiting bij het zingen van de literatuur. </w:t>
      </w:r>
    </w:p>
    <w:p>
      <w:pPr>
        <w:jc w:val="both"/>
      </w:pPr>
      <w:r>
        <w:t xml:space="preserve">•	Je mag samen met meerdere kandidaten dit onderdeel afleggen (uit één werk, meerstemmig,  elk een eigen stempartij). Dit is niet verplicht maar wel mogelijk. </w:t>
      </w:r>
    </w:p>
    <w:p>
      <w:pPr>
        <w:jc w:val="both"/>
      </w:pPr>
      <w:r>
        <w:t xml:space="preserve">•	Je kan elke koorpartituur situeren in tijd en ruimte (stijl, genre, biografische kennis componist, voornaamste werken componist, hoofdkenmerken).</w:t>
      </w:r>
    </w:p>
    <w:p>
      <w:pPr>
        <w:jc w:val="both"/>
      </w:pPr>
      <w:r>
        <w:t xml:space="preserve"/>
      </w:r>
    </w:p>
    <w:p>
      <w:pPr>
        <w:jc w:val="both"/>
      </w:pPr>
      <w:r>
        <w:t xml:space="preserve">- Verloop onderdeel 'dictie':</w:t>
      </w:r>
    </w:p>
    <w:p>
      <w:pPr>
        <w:jc w:val="both"/>
      </w:pPr>
      <w:r>
        <w:t xml:space="preserve">•	Je stelt jezelf en je hobby’s voor.</w:t>
      </w:r>
    </w:p>
    <w:p>
      <w:pPr>
        <w:jc w:val="both"/>
      </w:pPr>
      <w:r>
        <w:t xml:space="preserve">•	Je leest je zelfgekozen gedicht/proza voor. </w:t>
      </w:r>
    </w:p>
    <w:p>
      <w:pPr>
        <w:jc w:val="both"/>
      </w:pPr>
      <w:r>
        <w:t xml:space="preserve">•	Je leest een prima vista-artikel uit een recente mediabron (die je krijgt van de jury). </w:t>
      </w:r>
    </w:p>
    <w:p>
      <w:pPr>
        <w:jc w:val="both"/>
      </w:pPr>
      <w:r>
        <w:t xml:space="preserve">•	Dit onderdeel draag je voor met een correct taalgebruik (zie vakinhoud bij Nederlands). </w:t>
      </w:r>
    </w:p>
    <w:p>
      <w:pPr>
        <w:jc w:val="both"/>
      </w:pPr>
      <w:r>
        <w:t xml:space="preserve"/>
      </w:r>
    </w:p>
    <w:p>
      <w:pPr>
        <w:jc w:val="both"/>
      </w:pPr>
      <w:r>
        <w:t xml:space="preserve">De volgorde van de uitvoeringen gebeurt in overleg (naargelang het tijdstip en de andere kandidaten).  </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-Jouw grafische partituur EN één kopie voor de jury.</w:t>
      </w:r>
    </w:p>
    <w:p>
      <w:pPr>
        <w:jc w:val="both"/>
      </w:pPr>
      <w:r>
        <w:t xml:space="preserve">-Jouw zes koorpartituren EN één kopie voor de jury (waarin je jouw gekozen stem hebt aangeduid aan het begin van de partij)</w:t>
      </w:r>
    </w:p>
    <w:p>
      <w:pPr>
        <w:jc w:val="both"/>
      </w:pPr>
      <w:r>
        <w:t xml:space="preserve">-Jouw zelf gekozen literair stukje EN één kopie voor de jury. </w:t>
      </w:r>
    </w:p>
    <w:p>
      <w:pPr>
        <w:jc w:val="both"/>
      </w:pPr>
      <w:r>
        <w:t xml:space="preserve">-Je brengt het instrumentarium mee voor het onderdeel 'creatief musiceren'. </w:t>
      </w:r>
    </w:p>
    <w:p>
      <w:pPr>
        <w:jc w:val="both"/>
      </w:pPr>
      <w:r>
        <w:t xml:space="preserve">Dit maakt allemaal deel uit van de evaluatie!</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Je krijgt de tekstopgave voor het onderdeel 'dictie'.</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De jury kan met jou een explorerend gesprekje hebben om de achtergrond van de gezongen en gesproken werken en ook om jou beter te leren kennen. </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De jury geeft op jouw uitgevoerde werken een totaalquotatie op 100 die een optelling is van de verschillende onderdelen van dit vak (creatief musiceren, koorzang en dictie).</w:t>
      </w:r>
    </w:p>
    <w:p>
      <w:pPr>
        <w:jc w:val="both"/>
      </w:pPr>
      <w:r>
        <w:t xml:space="preserve"/>
      </w:r>
    </w:p>
    <w:p>
      <w:pPr>
        <w:jc w:val="both"/>
      </w:pPr>
      <w:r>
        <w:t xml:space="preserve"/>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creatief musiceren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50%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koorzang</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dictie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
        <w:br/>
        <w:t xml:space="preserve">Hieronder staan enkele handboeken en verwijzen we naar websites of andere uitgaven die je ook kunnen helpen bij je voorbereiding.</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Titel</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Auteur</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ISBN/Uitgever</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ONDERDEEL:  KOORZANG</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Spreken en zingen</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Eldar A.M. – Ed. Van Gorcum</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90 232 3322 0</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Tipboek zang</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Pinksterboer Hugo</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90 761 9208 1</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Sesam atlas van de zangkunst + CD</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Reinders Ank</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90 557 4301 1</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Complete vocal technique + CD</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Satijn Cathrine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87 9867 972 4</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In Koor: Natuurlijk Zingen!</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Der Vinne Klazienen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9071939030</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Ars Musica – Chorbuch für gemischte Stimmen (Band IV)</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Wolsters Gottfried</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 Möseler Verlag Wolfenbüttel</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ONDERDEEL: CREATIEF MUSICEREN</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Musica pedagogisch hoger onderwijs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De Wispelaere A.M.</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Van In</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Muziekinstrumenten, zelf maken – zelf bespelen</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Heerkens Ad</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Van In</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Hummeltje Tummeltje – muziek voor kleuters om te zingen, te dansen en te spelen op instrumenten</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Heerkens Ad</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Muusses, Purmerend.</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Het muziekboek voor kinderen. Luisteren, zingen, spelen en dansen met kinderen van 2 – 8 jaar</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Kreusch Jacob D.</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9789021306421</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Orff-Schulwerk – Muziek voor kinderen (4 delen)</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Orff Carl – Nederlandse bewerking Andries Marcel, Wuytack Jos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Schott</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Ding-Dong</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Bakker José</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90 321 0437 3</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Website</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http://www.classical-composers.org</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http://www.classical.net</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http://www.componisten.net</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http://www.ipl.org.div.mushist</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http://www.klassiekemuziekgids.net</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http://go.to/musicerendejeugd</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9">
    <w:nsid w:val="0CAA79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0">
    <w:nsid w:val="0CAA7911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1">
    <w:nsid w:val="0CAA7911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