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(MT)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A2/B1 (lezen en luisteren) van het ERK. In de volgende tabellen vind je wat je voor elke vaardigheid moet kunnen en wat je moet doen op het examen om te bewijzen dat je dat kan.</w:t>
        <w:br/>
        <w:t xml:space="preserve"/>
        <w:br/>
        <w:t xml:space="preserve">Verderop vind je concrete leermiddelen die je kunnen helpen om je huidige niveau in te schatten en je vaardigheden verder te ontwikkelen. Om het niveau te bereiken waarop je deze vijf vaardigheden moet beheersen, moet je uiteraard ook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http://www.vandale.nl/opzoeken/woordenboek#.VWVmmmH9jvg8. Er is ook een online spellingcontrole beschikbaar (www.spelling.nu).</w:t>
        <w:br/>
        <w:t xml:space="preserve"/>
        <w:br/>
        <w:t xml:space="preserve">Om je voor te bereiden om het examen, oefen je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w:t>
      </w:r>
    </w:p>
    <w:p>
      <w:pPr>
        <w:jc w:val="both"/>
      </w:pPr>
      <w:r>
        <w:t xml:space="preserve"/>
      </w:r>
    </w:p>
    <w:p>
      <w:pPr>
        <w:jc w:val="both"/>
      </w:pPr>
      <w:r>
        <w:t xml:space="preserve">In richtingen met de component moderne talen zijn we strenger bij het beoordelen van je taalvaardigheid. De opdrachten kunnen gelijk zijn, maar we leggen de lat hoger bij de beoordeling. Op alle hierboven vermelde punten verwachten we dus meer nauwkeurigheid en vlotheid. </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(MT) mondeling 3 tso - 40 (10-01-2017-31-12-2099)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(MT) mondeling 3 tso - 60 (10-01-2017-31-12-2099)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2T en 3T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www.goethe.de/de/spr/kup/prf/prf/gzb1/ueb.html</w:t>
              <w:br/>
              <w:t xml:space="preserve"/>
              <w:br/>
              <w:t xml:space="preserve">www.telc.net/pruefungsteilnehmende/sprachpruefungen/pruefungen/detail/zertifikat-deutsch-telc-deutsch-b1.html#t=2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www.schubert-verlag.de/aufgaben/uebungen_b1/b1_uebungen_index_z.htm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