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in het bijgevoegde document. Van dat boek moet je de inhoud kennen en je leeservaring kunnen beschrijven.</w:t>
        <w:br/>
        <w:t>In het bijgevoegde document vind je wat we van jou verwachten.</w:t>
        <w:br/>
        <w:t/>
      </w:r>
      <w:r w:rsidRPr="003E4776">
        <w:t/>
      </w:r>
    </w:p>
    <w:p w14:paraId="5B5E3ED3" w14:textId="0FE7D0D3" w:rsidR="0076163F" w:rsidRDefault="0076163F" w:rsidP="0076163F">
      <w:r w:rsidRPr="003E4776">
        <w:t/>
      </w:r>
      <w:r>
        <w:t>Bijlage_Nederlands 3bso_lectuurlijst_2019.pdf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Nedweb 5</w:t>
              <w:br/>
              <w:t xml:space="preserve">Zakelijke communicatie</w:t>
              <w:br/>
              <w:t xml:space="preserve"/>
              <w:br/>
              <w:t xml:space="preserve">Nedweb 6</w:t>
              <w:br/>
              <w:t xml:space="preserve">Zakelijke communicatie</w:t>
              <w:br/>
              <w:t xml:space="preserve"/>
              <w:br/>
              <w:t xml:space="preserve">Puur Zakelijk</w:t>
              <w:br/>
              <w:t xml:space="preserve"/>
              <w:br/>
              <w:t xml:space="preserve">Vaardig – werkwijzers zakelijke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 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www.vvzc.be/Briefnormen.pdf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 (BIN-normen)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U</w:t>
            </w:r>
            <w:r>
              <w:rPr>
                <w:i/>
              </w:rPr>
              <w:t xml:space="preserve">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