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theorie van de lichamelijke opvoeding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2020 tot en met 31 december  2020</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GO! 2012/050 </w:t>
      </w:r>
    </w:p>
    <w:p>
      <w:pPr>
        <w:spacing w:after="160" w:line="259" w:lineRule="auto"/>
      </w:pPr>
      <w:r>
        <w:t xml:space="preserve">VVKSO Lichamelijke Opvoeding en Sport derde graad TSO D/2010/7841/007 </w:t>
      </w:r>
    </w:p>
    <w:p>
      <w:pPr>
        <w:spacing w:after="160" w:line="259" w:lineRule="auto"/>
      </w:pPr>
      <w:r>
        <w:t xml:space="preserve">OVSG leerplannummer 0/2/2012/402</w:t>
        <w:br/>
        <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Sport en spel, sportkampen tijdens de vakantie voor jongeren, sportdag voor senioren, ... situaties waar je als jonge begeleider mee in aanraking zal komen. Heel wat vragen en opmerkingen zullen je gesteld worden: "Is er een programmaboekje, hoe kan ik me inschrijven, waar kan ik de uitslagen raadplegen ...? Als leidinggevende moet je hierop gepast kunnen reageren en antwoorden.</w:t>
      </w:r>
    </w:p>
    <w:p>
      <w:r>
        <w:rPr/>
        <w:t xml:space="preserve"/>
      </w:r>
      <w:r>
        <w:rPr>
          <w:color w:val="00B050"/>
        </w:rPr>
        <w:t/>
      </w:r>
    </w:p>
    <w:p w14:paraId="70391787" w14:textId="3DB223A8" w:rsidR="00047953" w:rsidRDefault="001D02B3" w:rsidP="0082741A">
      <w:r>
        <w:rPr>
          <w:color w:val="00B050"/>
        </w:rPr>
        <w:t/>
      </w:r>
      <w:r>
        <w:t/>
      </w:r>
      <w:r>
        <w:rPr/>
        <w:t xml:space="preserve">Dit vak behandelt daarom het leren over bewegen: het bijbrengen van kennis en inzicht in bewegen en sport, in bewegings - en sportcultuur en in andermans kunnen. Ook de spelorganisatorische en leidinggevende aspecten van de sporten moet je beheersen.</w:t>
      </w:r>
    </w:p>
    <w:p>
      <w:r>
        <w:rPr/>
        <w:t xml:space="preserve"> </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SPORT EN SPEL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ORGANISATIE VAN WEDSTRIJDEN EN SPELEN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LEIDING GEVEN IN SPORT</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SPORT EN SPEL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sport en spel</w:t>
              <w:br/>
              <w:t xml:space="preserve"/>
              <w:br/>
              <w:t xml:space="preserve"/>
              <w:br/>
              <w:t xml:space="preserve">sport - en spelvormen</w:t>
              <w:br/>
              <w:t xml:space="preserve"/>
              <w:br/>
              <w:t xml:space="preserve"/>
              <w:br/>
              <w:t xml:space="preserve">sportregels op school en in een wedstrijd</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sport en spel onderscheiden van elkaar en kenmerken van elk geven</w:t>
              <w:br/>
              <w:t xml:space="preserve"/>
              <w:br/>
              <w:t xml:space="preserve">de verschillende sport– en spelvormen herkennen</w:t>
              <w:br/>
              <w:t xml:space="preserve"/>
              <w:br/>
              <w:t xml:space="preserve">voor verschillende sporten en spelen de gepaste vorm plannen, rekening houdend met de doelgroep</w:t>
              <w:br/>
              <w:t xml:space="preserve"/>
              <w:br/>
              <w:t xml:space="preserve">schoolsportspelregels en wedstrijdspelregels onderscheiden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ORGANISATIE VAN WEDSTRIJDEN EN SPELEN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ALGEMENE WEDSTRIJDORGANISATIE</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algemene begrippen:</w:t>
            </w:r>
          </w:p>
          <w:p>
            <w:pPr>
              <w:pStyle w:val="ListParagraph"/>
              <w:numPr>
                <w:ilvl w:val="0"/>
                <w:numId w:val="14"/>
              </w:numPr>
            </w:pPr>
            <w:r>
              <w:rPr/>
              <w:t xml:space="preserve">organisatievormen van wedstrijden</w:t>
              <w:br/>
              <w:t xml:space="preserve"/>
            </w:r>
          </w:p>
          <w:p>
            <w:pPr>
              <w:pStyle w:val="ListParagraph"/>
              <w:numPr>
                <w:ilvl w:val="0"/>
                <w:numId w:val="14"/>
              </w:numPr>
            </w:pPr>
            <w:r>
              <w:rPr/>
              <w:t xml:space="preserve">het programmaboekje</w:t>
            </w:r>
          </w:p>
          <w:p>
            <w:pPr>
              <w:pStyle w:val="ListParagraph"/>
              <w:numPr>
                <w:ilvl w:val="0"/>
                <w:numId w:val="14"/>
              </w:numPr>
            </w:pPr>
            <w:r>
              <w:rPr/>
              <w:t xml:space="preserve">accommodatie, inrichting en materiaal</w:t>
              <w:br/>
              <w:t xml:space="preserve"/>
            </w:r>
          </w:p>
          <w:p>
            <w:pPr>
              <w:pStyle w:val="ListParagraph"/>
              <w:numPr>
                <w:ilvl w:val="0"/>
                <w:numId w:val="14"/>
              </w:numPr>
            </w:pPr>
            <w:r>
              <w:rPr/>
              <w:t xml:space="preserve">uitslagen en administratie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 spel – en sportwedstrijden</w:t>
            </w:r>
          </w:p>
          <w:p>
            <w:pPr>
              <w:pStyle w:val="ListParagraph"/>
              <w:numPr>
                <w:ilvl w:val="0"/>
                <w:numId w:val="15"/>
              </w:numPr>
            </w:pPr>
            <w:r>
              <w:rPr/>
              <w:t xml:space="preserve">een organisatievorm aangepast aan de sport plannen</w:t>
            </w:r>
          </w:p>
          <w:p>
            <w:pPr>
              <w:pStyle w:val="ListParagraph"/>
              <w:numPr>
                <w:ilvl w:val="0"/>
                <w:numId w:val="15"/>
              </w:numPr>
            </w:pPr>
            <w:r>
              <w:rPr/>
              <w:t xml:space="preserve">een programmaboekje van een wedstrijd of evenement samenstellen</w:t>
            </w:r>
          </w:p>
          <w:p>
            <w:pPr>
              <w:pStyle w:val="ListParagraph"/>
              <w:numPr>
                <w:ilvl w:val="0"/>
                <w:numId w:val="15"/>
              </w:numPr>
            </w:pPr>
            <w:r>
              <w:rPr/>
              <w:t xml:space="preserve">het optimaal gebruik van accommodatie (inrichting) bepalen, materiaallijsten bij een activiteit opstellen</w:t>
            </w:r>
          </w:p>
          <w:p>
            <w:pPr>
              <w:pStyle w:val="ListParagraph"/>
              <w:numPr>
                <w:ilvl w:val="0"/>
                <w:numId w:val="15"/>
              </w:numPr>
            </w:pPr>
            <w:r>
              <w:rPr/>
              <w:t xml:space="preserve">de uitslagen en administratie organiseren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COMPETITIESYSTEMEN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regels van verschillende competitiesystemen</w:t>
              <w:br/>
              <w:t xml:space="preserve"/>
              <w:br/>
              <w:t xml:space="preserve">competitiesystemen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werking van de verschillende competitiesystemen zoals : uitdagingsystemen, rond het racket – systeem, laddersysteem, schoorsteensysteem, afvalsystemen, piramide – systeem, poulesysteem, gecombineerde systemen en roulatiesystemen beschrijven en toelichten</w:t>
              <w:br/>
              <w:t xml:space="preserve"/>
              <w:br/>
              <w:t xml:space="preserve">een gepaste competitiesysteem toepassen, rekening houdend met opzet, soort sport en spel, deelnemers, beschikbaar materiaal,  accommodatie, …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ORGANISATIE SPORTDAGEN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spelkloksystemen en vaardigheidskloksystemen</w:t>
              <w:br/>
              <w:t xml:space="preserve"/>
              <w:br/>
              <w:t xml:space="preserve">de organisatie van een sportdag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werking van spelkloksystemen en vaardigheidskloksystemen herkennen en beschrijven</w:t>
              <w:br/>
              <w:t xml:space="preserve"/>
              <w:br/>
              <w:t xml:space="preserve">de organisatie van een onderdeel van een sportdag plannen volgens één of combinatie van spelkloksystemen en vaardigheidskloksystemen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LEIDING GEVEN IN SPORT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leiderschapsstijlen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doel, voor– en nadelen van de gezaghebbende stijl, de relatiegerichte stijl, de democratische stijl, de maatgevende stijl en de coachende stijl beschrijven</w:t>
              <w:br/>
              <w:t xml:space="preserve"/>
              <w:br/>
              <w:t xml:space="preserve">motiveren welke stijl te gebruiken in verschillende sportsituaties</w:t>
              <w:br/>
              <w:t xml:space="preserve"/>
              <w:br/>
              <w:t xml:space="preserve">medewerkers informeren, briefen…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sportevenementen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als verantwoordelijke een sportevenement plannen, analyseren, organiseren en evalueren</w:t>
              <w:br/>
              <w:t xml:space="preserve"/>
              <w:br/>
              <w:t xml:space="preserve">jouw medewerkers aan een sportevenement motiveren, observeren en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jeugdsportbegeleider en jeugdsportcoördinator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verantwoordelijkheden en taken van een jeugdsportbegeleider en een jeugdsportcoördinator in een sportclub beschrijven en herkennen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60 minuten voor examens vanaf 01-01-2020 tot 31-12-2020</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theorie van de lichamelijke opvoeding is een digitaal examen. Vraag je je af hoe een digitaal examen verloopt? De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 en een balpan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 moet je het juiste antwoord aanduiden, invullen of slepen om punten te scoren, naargelang het vraagtype kan je voor een gedeeltelijk juist antwoord soms ook punten scoren en is er bij meerkeuzevragen geen giscorrectie.</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Sport en spel</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b/>
              </w:rPr>
              <w:t xml:space="preserve">24%</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p>
          <w:p>
            <w:pPr>
              <w:pStyle w:val="ListParagraph"/>
              <w:numPr>
                <w:ilvl w:val="0"/>
                <w:numId w:val="8"/>
              </w:numPr>
            </w:pPr>
            <w:r>
              <w:rPr/>
              <w:t xml:space="preserve">verschillen sport en spel</w:t>
            </w:r>
          </w:p>
          <w:p>
            <w:pPr>
              <w:pStyle w:val="ListParagraph"/>
              <w:numPr>
                <w:ilvl w:val="0"/>
                <w:numId w:val="8"/>
              </w:numPr>
            </w:pPr>
            <w:r>
              <w:rPr/>
              <w:t xml:space="preserve">verschillen sport- en spelvormen</w:t>
            </w:r>
          </w:p>
          <w:p>
            <w:pPr>
              <w:pStyle w:val="ListParagraph"/>
              <w:numPr>
                <w:ilvl w:val="0"/>
                <w:numId w:val="8"/>
              </w:numPr>
            </w:pPr>
            <w:r>
              <w:rPr/>
              <w:t xml:space="preserve">sport op school</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p>
          <w:p>
            <w:pPr>
              <w:pStyle w:val="ListParagraph"/>
              <w:numPr>
                <w:ilvl w:val="0"/>
                <w:numId w:val="9"/>
              </w:numPr>
            </w:pPr>
            <w:r>
              <w:rPr/>
              <w:t xml:space="preserve">8%</w:t>
              <w:br/>
              <w:t xml:space="preserve"> </w:t>
            </w:r>
          </w:p>
          <w:p>
            <w:pPr>
              <w:pStyle w:val="ListParagraph"/>
              <w:numPr>
                <w:ilvl w:val="0"/>
                <w:numId w:val="9"/>
              </w:numPr>
            </w:pPr>
            <w:r>
              <w:rPr/>
              <w:t xml:space="preserve">8%</w:t>
              <w:br/>
              <w:t xml:space="preserve"> </w:t>
            </w:r>
          </w:p>
          <w:p>
            <w:pPr>
              <w:pStyle w:val="ListParagraph"/>
              <w:numPr>
                <w:ilvl w:val="0"/>
                <w:numId w:val="9"/>
              </w:numPr>
            </w:pPr>
            <w:r>
              <w:rPr/>
              <w:t xml:space="preserve">8%</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Organisatie van wedstrijden en spelen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b/>
              </w:rPr>
              <w:t xml:space="preserve">46%</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p>
          <w:p>
            <w:pPr>
              <w:pStyle w:val="ListParagraph"/>
              <w:numPr>
                <w:ilvl w:val="0"/>
                <w:numId w:val="10"/>
              </w:numPr>
            </w:pPr>
            <w:r>
              <w:rPr/>
              <w:t xml:space="preserve">algemene wedstrijdorganisatie</w:t>
            </w:r>
          </w:p>
          <w:p>
            <w:pPr>
              <w:pStyle w:val="ListParagraph"/>
              <w:numPr>
                <w:ilvl w:val="0"/>
                <w:numId w:val="10"/>
              </w:numPr>
            </w:pPr>
            <w:r>
              <w:rPr/>
              <w:t xml:space="preserve">competitiesystemen</w:t>
            </w:r>
          </w:p>
          <w:p>
            <w:pPr>
              <w:pStyle w:val="ListParagraph"/>
              <w:numPr>
                <w:ilvl w:val="0"/>
                <w:numId w:val="10"/>
              </w:numPr>
            </w:pPr>
            <w:r>
              <w:rPr/>
              <w:t xml:space="preserve">organisatie sportdagen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p>
          <w:p>
            <w:pPr>
              <w:pStyle w:val="ListParagraph"/>
              <w:numPr>
                <w:ilvl w:val="0"/>
                <w:numId w:val="11"/>
              </w:numPr>
            </w:pPr>
            <w:r>
              <w:rPr/>
              <w:t xml:space="preserve">30%</w:t>
              <w:br/>
              <w:t xml:space="preserve"> </w:t>
            </w:r>
          </w:p>
          <w:p>
            <w:pPr>
              <w:pStyle w:val="ListParagraph"/>
              <w:numPr>
                <w:ilvl w:val="0"/>
                <w:numId w:val="11"/>
              </w:numPr>
            </w:pPr>
            <w:r>
              <w:rPr/>
              <w:t xml:space="preserve">8%</w:t>
            </w:r>
          </w:p>
          <w:p>
            <w:pPr>
              <w:pStyle w:val="ListParagraph"/>
              <w:numPr>
                <w:ilvl w:val="0"/>
                <w:numId w:val="11"/>
              </w:numPr>
            </w:pPr>
            <w:r>
              <w:rPr/>
              <w:t xml:space="preserve">8%</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Leiding geven in sport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b/>
              </w:rPr>
              <w:t xml:space="preserve">30%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p>
          <w:p>
            <w:pPr>
              <w:pStyle w:val="ListParagraph"/>
              <w:numPr>
                <w:ilvl w:val="0"/>
                <w:numId w:val="12"/>
              </w:numPr>
            </w:pPr>
            <w:r>
              <w:rPr/>
              <w:t xml:space="preserve">leiderschapsstijlen</w:t>
            </w:r>
          </w:p>
          <w:p>
            <w:pPr>
              <w:pStyle w:val="ListParagraph"/>
              <w:numPr>
                <w:ilvl w:val="0"/>
                <w:numId w:val="12"/>
              </w:numPr>
            </w:pPr>
            <w:r>
              <w:rPr/>
              <w:t xml:space="preserve">sportevenementen</w:t>
            </w:r>
          </w:p>
          <w:p>
            <w:pPr>
              <w:pStyle w:val="ListParagraph"/>
              <w:numPr>
                <w:ilvl w:val="0"/>
                <w:numId w:val="12"/>
              </w:numPr>
            </w:pPr>
            <w:r>
              <w:rPr/>
              <w:t xml:space="preserve">jeugdsportbegeleider en coördinator</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p>
          <w:p>
            <w:pPr>
              <w:pStyle w:val="ListParagraph"/>
              <w:numPr>
                <w:ilvl w:val="0"/>
                <w:numId w:val="13"/>
              </w:numPr>
            </w:pPr>
            <w:r>
              <w:rPr/>
              <w:t xml:space="preserve">12%</w:t>
            </w:r>
          </w:p>
          <w:p>
            <w:pPr>
              <w:pStyle w:val="ListParagraph"/>
              <w:numPr>
                <w:ilvl w:val="0"/>
                <w:numId w:val="13"/>
              </w:numPr>
            </w:pPr>
            <w:r>
              <w:rPr/>
              <w:t xml:space="preserve">12%</w:t>
            </w:r>
          </w:p>
          <w:p>
            <w:pPr>
              <w:pStyle w:val="ListParagraph"/>
              <w:numPr>
                <w:ilvl w:val="0"/>
                <w:numId w:val="13"/>
              </w:numPr>
            </w:pPr>
            <w:r>
              <w:rPr/>
              <w:t xml:space="preserve">6%</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 De bibliotheken van de lerarenopleiding aan de universiteit of de hogeschool bieden heel wat leermiddelen aan in hun collectie. </w:t>
        <w:br/>
        <w:t xml:space="preserve">Bij elke nieuwe editie van de vakfiche actualiseren we deze bibliografie. Toch is het best mogelijk dat bepaalde werken niet meer verkrijgbaar zijn of dat nieuwe werken die al op de markt zijn nog niet zijn opgenomen. </w:t>
        <w:br/>
        <w:t xml:space="preserve">We maken bewust een selectie van leermiddelen die ons op dit ogenblik het meest aangewezen lijken om je voor te bereiden op onze examens. Door een selectie te maken, willen we je helpen om je studie efficiënter aan te pakken. Je kan echter ook andere werken of cursussen gebruiken bij je voorbereiding op het examen. </w:t>
        <w:br/>
        <w:t xml:space="preserve">In dit deel van de bibliografie vind je enkele handboeken die vaak gebruikt worden in het secundair onderwijs.  Ze bieden je voldoende ondersteuning om zelfstandig de leerstof te verwerken dankzij elektronische hulpmiddelen zoals oefeningen die de uitgever aanbiedt bij het handboek. De hier opgenomen lijst  houdt  geen enkele aanbeveling of kwaliteitsgoedkeuring in.</w:t>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Spel en sport : leerboek voor agogisch werk en activiteiten begeleiding</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Nijkerk : Intro, 1985</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ISBN: 90-266-1792-5</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Het organiseren van wedstrijden en spelen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Tirion Sport via De Standaard Boekhandel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ISBN: 9789060764190</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Titel 1</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Titel 2</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http://www.schoolsport.be/vlaamseveldloopweek/page.aspx?ID=948</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http://www.recreators.nl/MEDIA/files/Competities%20en%20toernooien(1).pdf</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