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0"/>
              </w:numPr>
            </w:pPr>
            <w:r>
              <w:rPr/>
              <w:t xml:space="preserve">om problemen op te lossen en/of</w:t>
            </w:r>
          </w:p>
          <w:p>
            <w:pPr>
              <w:pStyle w:val="ListParagraph"/>
              <w:numPr>
                <w:ilvl w:val="0"/>
                <w:numId w:val="10"/>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Zakelijke communicatie Nederlands (3e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onlineversie van het Groene boekje, opgesteld volgens de officiële Nederlandse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br/>
              <w:t xml:space="preserve"/>
              <w:br/>
              <w:t xml:space="preserve">www.vdab.be/solliciteren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oproep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www.nieuwsblad.be</w:t>
              <w:br/>
              <w:t xml:space="preserve"/>
              <w:br/>
              <w:t xml:space="preserve">www.demorgen.be</w:t>
              <w:br/>
              <w:t xml:space="preserve"/>
              <w:br/>
              <w:t xml:space="preserve">www.deredactie.be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kranten en nieuwssites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