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augustus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Natuurwetenschappen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Economische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r>
    </w:p>
    <w:p>
      <w:r>
        <w:rP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Zo kunnen we ervan uitgaan dat ook onze samenleving niet stilstaat: allerlei vernieuwingen zorgen ervoor dat we ons als mensen voortdurend moeten aanpassen. </w:t>
      </w:r>
    </w:p>
    <w:p>
      <w:r>
        <w:rPr/>
        <w:t xml:space="preserve"/>
      </w:r>
      <w:r>
        <w:rPr>
          <w:color w:val="00B050"/>
        </w:rPr>
        <w:t/>
      </w:r>
    </w:p>
    <w:p w14:paraId="70391787" w14:textId="3DB223A8" w:rsidR="00047953" w:rsidRDefault="001D02B3" w:rsidP="0082741A">
      <w:r>
        <w:rPr>
          <w:color w:val="00B050"/>
        </w:rPr>
        <w:t/>
      </w:r>
      <w:r>
        <w:t/>
      </w:r>
      <w:r>
        <w:rPr/>
        <w:t xml:space="preserve">In de zoektocht naar je eigen persoonlijke identiteit speelt de studie van het verleden onbewust een grote rol: je leert je eigen positie bepalen door ideeën en samenlevingen te bestuderen. Je leert af te wegen wat de voor- en nadelen zijn. Je beseft wat de mogelijke gevolgen kunnen zijn. Je bent in staat om maatschappelijke fenomenen vanuit meerdere perspectieven te bekijken. Zo breng je respect op voor andere meningen en vel je niet te snel een oordeel.  </w:t>
      </w:r>
    </w:p>
    <w:p>
      <w:r>
        <w:rPr/>
        <w:t xml:space="preserve">De media kunnen een gebeurtenis vandaag als iets positief of als iets negatief voorstellen. Zo gebeurt het ook bij de studie over het verleden. Bronnen bieden geen exacte weergave van dat verleden. Op basis van een kritische bronnenanalyse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r>
    </w:p>
    <w:p>
      <w:r>
        <w:rPr/>
        <w:t xml:space="preserve">Geschiedenis is meer dan data alleen. Geschiedenis is meer dan losse feitjes alleen. Data en feiten zijn meer een kapstok die je een goede achtergrond bieden om een stapje verder te gaan. Het is zinvol om te begrijpen hoe en waarom iets in de tijd verandert of gelijk blijft. Het is leerrijk om te verklaren hoe een individu bepalend kan zijn voor veranderingen.  Het is boeiend om te analyseren welke invloed een lokaal proces op het internationale vlak heeft. Het is verrassend om te zien wat je allemaal uit foto's, spotprenten of films kan afleiden. Het is beklijvend om vast te stellen hoe hard mensen zich in het verleden hebben ingespannen voor de rechten van de mens. </w:t>
      </w:r>
    </w:p>
    <w:p>
      <w:r>
        <w:rPr/>
        <w:t xml:space="preserve"> </w:t>
      </w:r>
    </w:p>
    <w:p>
      <w:r>
        <w:rPr/>
        <w:t xml:space="preserve">In het vak geschiedenis van de tweede graad bestudeer je de samenlevingen uit het ancien régime: de middeleeuwen en de nieuwe tijd. Je toont belangstelling en waardering voor de samenleving uit deze historische periodes.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Westerse samenlevingen in de middeleeuwen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Westerse samenlevingen in de nieuwe tijd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Niet-westerse samenlevingen in de nieuwe tijd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vakfiche vind je wat je voor elke leerinhoud moet kennen en kunnen. Er zijn natuurlijk historische vaardigheden die je op elke leerinhoud moet kunnen toepassen. Die vind je hier. Er worden in de vakfiche steeds dezelfde werkwoorden gebruikt. Om te weten wat die werkwoorden precies inhouden, lees je best de betekenis hieronder. Tenslotte krijg je nog enkele tips over het gebruik van een atlas en een begrippenlijst.</w:t>
      </w:r>
    </w:p>
    <w:p>
      <w:r>
        <w:rPr/>
        <w:t xml:space="preserve">HISTORISCHE VAARDIGHEDEN</w:t>
      </w:r>
    </w:p>
    <w:p>
      <w:r>
        <w:rPr/>
        <w:t xml:space="preserve">Op alle leerinhouden zal je historische vaardigheden moeten toepassen. Deze zijn noodzakelijk om op een correcte manier om te gaan met bronnen. Je moet op het examen aantonen dat je de volgende vaardigheden beheerst: </w:t>
      </w:r>
    </w:p>
    <w:p>
      <w:r>
        <w:rPr/>
        <w:t xml:space="preserve">informatie uit gevarieerd bronnenmateriaal zoals afbeeldingen, brieven, dagboekfragmenten, diagrammen, films, foto’s, kaarten, memoires, reisverslagen, schema’s, spotprenten, tabellen, tekeningen…opzoeken, ordenen, selecteren en vergelijken;</w:t>
      </w:r>
    </w:p>
    <w:p>
      <w:r>
        <w:rPr/>
        <w:t xml:space="preserve">historische informatie situeren in het historisch referentiekader;</w:t>
      </w:r>
    </w:p>
    <w:p>
      <w:r>
        <w:rPr/>
        <w:t xml:space="preserve">op gevarieerd bronnenmateriaal de methode van de historische kritiek toepassen. Je vindt dit in elk handboek geschiedenis;</w:t>
      </w:r>
    </w:p>
    <w:p>
      <w:r>
        <w:rPr/>
        <w:t xml:space="preserve">historische informatie bevragen door gebruik te maken van de vermelde structuurbegrippen;</w:t>
      </w:r>
    </w:p>
    <w:p>
      <w:r>
        <w:rPr/>
        <w:t xml:space="preserve">in historische informatie de hoofd- en bijzaken van elkaar kunnen onderscheiden;</w:t>
      </w:r>
    </w:p>
    <w:p>
      <w:r>
        <w:rPr/>
        <w:t xml:space="preserve">in historische informatie feiten en meningen van elkaar kunnen onderscheiden;</w:t>
      </w:r>
    </w:p>
    <w:p>
      <w:r>
        <w:rPr/>
        <w:t xml:space="preserve">historische informatie interpreteren en structureren en verbanden leggen tussen informatie;</w:t>
      </w:r>
    </w:p>
    <w:p>
      <w:r>
        <w:rPr/>
        <w:t xml:space="preserve">je eigen standpunt bepalen tegenover een historisch probleem;</w:t>
      </w:r>
    </w:p>
    <w:p>
      <w:r>
        <w:rPr/>
        <w:t xml:space="preserve">de leerinhouden verbinden met de actualiteit.</w:t>
      </w:r>
    </w:p>
    <w:p>
      <w:r>
        <w:rPr/>
        <w:t xml:space="preserve">Als er geschreven bronnen gebruikt worden, zijn dit steeds Nederlandstalige bronnen.</w:t>
      </w:r>
    </w:p>
    <w:p>
      <w:r>
        <w:rPr/>
        <w:t xml:space="preserve">Vanaf januari 2018 zal je voor dit vak een opdracht moeten uitvoeren. Raadpleeg daarvoor de andere vakfiche.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GEBRUIK VAN WERKWOORDEN</w:t>
      </w:r>
    </w:p>
    <w:p>
      <w:r>
        <w:rPr/>
        <w:t xml:space="preserve">Belangrijke aandachtspunten bij het gebruik van de werkwoorden.</w:t>
      </w:r>
    </w:p>
    <w:p>
      <w:r>
        <w:rPr/>
        <w:t xml:space="preserve">In de tabel 'wat moet je kunnen?’ staat heel vaak dat je iets moet benoemen of uitleggen. </w:t>
      </w:r>
      <w:r>
        <w:rPr>
          <w:b/>
        </w:rPr>
        <w:t xml:space="preserve">Benoemen</w:t>
      </w:r>
      <w:r>
        <w:rPr/>
        <w:t xml:space="preserve"> wordt gebruikt bij een begrip. </w:t>
      </w:r>
      <w:r>
        <w:rPr>
          <w:b/>
        </w:rPr>
        <w:t xml:space="preserve">Uitleggen</w:t>
      </w:r>
      <w:r>
        <w:rPr/>
        <w:t xml:space="preserve">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w:t>
      </w:r>
      <w:r>
        <w:rPr>
          <w:b/>
        </w:rPr>
        <w:t xml:space="preserve">vergelijke</w:t>
      </w:r>
      <w:r>
        <w:rPr/>
        <w:t xml:space="preserve">n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w:t>
      </w:r>
    </w:p>
    <w:p>
      <w:r>
        <w:rPr>
          <w:b/>
        </w:rPr>
        <w:t xml:space="preserve">Toepassen</w:t>
      </w:r>
      <w:r>
        <w:rPr/>
        <w:t xml:space="preserve">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Hier komt het erop aan om na een grondige analyse je standpunt te formuleren met duidelijke argumenten.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ATLAS EN BEGRIPPENLIJST</w:t>
      </w:r>
    </w:p>
    <w:p>
      <w:r>
        <w:rPr/>
        <w:t xml:space="preserve">Er worden in de tabellen veel begrippen aangereikt: het kan je helpen om een begrippenlijst aan te leggen of begrippenlijsten uit handboeken te gebruiken. Op het examen moet je geen historische atlas meebrengen. Het kan je wel helpen om bij de voorbereiding van je examen de kaarten van het ancien régime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gebeurtenissen of bronnen situeren in de juiste historische periode</w:t>
              <w:br/>
              <w:t xml:space="preserve"/>
              <w:br/>
              <w:t xml:space="preserve">historische gebeurtenissen chronologisch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in andere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in historische periodes in andere samenlevingen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eeuw, decennium, millennium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
              <w:br/>
              <w:t xml:space="preserve">gebeurtenissen of bronnen uit het ancien régime situeren in de juiste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begin- en einddatum van het ancien régime benoemen</w:t>
              <w:br/>
              <w:t xml:space="preserve"/>
              <w:br/>
              <w:t xml:space="preserve">uitleggen of een gebeurtenis tijdens het ancien régime plaatsvindt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vergelijking tussen de middeleeuwen en de nieuwe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veranderingen benoemen waarom we de middeleeuwen en de nieuwe tijd als een aparte periode bekijken</w:t>
              <w:br/>
              <w:t xml:space="preserve"/>
              <w:br/>
              <w:t xml:space="preserve">de gelijkenissen benoemen waarom we de middeleeuwen en de nieuwe tijd als één periode van het ancien régime bekijken</w:t>
              <w:br/>
              <w:t xml:space="preserve"/>
              <w:br/>
              <w:t xml:space="preserve">verklaren waarom het begrip 'middeleeuwen’ pas ontstaan is in de nieuwe tijd</w:t>
              <w:br/>
              <w:t xml:space="preserve"/>
              <w:br/>
              <w:t xml:space="preserve">verklaren waarom de middeleeuwen (g)een breuk is met de klassieke oudheid</w:t>
              <w:br/>
              <w:t xml:space="preserve"/>
              <w:br/>
              <w:t xml:space="preserve">verklaren waarom de nieuwste tijd (g)een breuk is met de nieuwe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continuïteit en 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benoemen als gebeurtenissen die gelijk gebleven zijn (continuïteit) of veranderd zijn in een bepaalde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 situeren in de tijd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Kaarten over het verleden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kaarten over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of rijken situeren op een kaart over het verleden</w:t>
              <w:br/>
              <w:t xml:space="preserve"/>
              <w:br/>
              <w:t xml:space="preserve">kaarten over het verleden en het heden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Ruimtelijke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centrum en periferie</w:t>
              <w:br/>
              <w:t xml:space="preserve">maritiem en continentaal</w:t>
              <w:br/>
              <w:t xml:space="preserve">ruraal en stedelijk</w:t>
              <w:br/>
              <w:t xml:space="preserve">lokaal, regionaal, nationaal, Europees, mondiaal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ruimtelijke begrippen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domeinen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vier maatschappelijke domeinen: politiek, economisch, sociaal en cultureel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feiten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binnen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binnen één maatschappelijk domein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Thema's over het hele ancien régime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gelijkenissen en verschillen in de demografische evolutie in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gelijkenissen en verschillen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gelijkenissen en verschillen in mobiliteit en transport in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gelijkenissen en verschillen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zoals agrarisch, centralisatie, clerus, cijns, decentralisatie, democratie, demografie, dynastie, grondwet, kolonisatie, koning, keizer, lijfeigenschap, macht, monarchie, nijverheid, overheid, privilege, republiek, staat, standenmaatschappij, vorst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belang, breuk, doel, gevolg, invloed, mentaliteit, middel, motief, oorzaak, proces, samenhang,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argumentatie, betrouwbaarheid, bruikbaarheid, feit, gezag, interpretatie, legende, leugen, mening, mythe, objectiviteit, primaire bron, redenering, secundaire bron, stereotype,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Westerse samenlevingen in de middeleeuwen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Germaanse volksverhuizingen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Germaanse volksverhuizingen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volksverhuizingen situeren in de tijd</w:t>
              <w:br/>
              <w:t xml:space="preserve"/>
              <w:br/>
              <w:t xml:space="preserve">de oorzaken van die volksverhuizingen beschrijven</w:t>
              <w:br/>
              <w:t xml:space="preserve"/>
              <w:br/>
              <w:t xml:space="preserve">de volksverhuizingen aan de hand van een kaart uitleggen</w:t>
              <w:br/>
              <w:t xml:space="preserve"/>
              <w:br/>
              <w:t xml:space="preserve">de gevolgen van die volksverhuizingen op het gebruik van talen in Europa uitleggen,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Frankische rijk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ontstaan en de groei van het Frankische rijk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groei van het Frankische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groei van het Frankische rijk aan de hand van een kaart uitleggen</w:t>
              <w:br/>
              <w:t xml:space="preserve"/>
              <w:br/>
              <w:t xml:space="preserve">het Frankische rijk op een kaart aanduiden en vergelijken met een kaart van de hedendaagse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bestuur in het Frankische rijk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bestuur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bestuur uitleggen, verklaren en toepassen</w:t>
              <w:br/>
              <w:t xml:space="preserve"/>
              <w:br/>
              <w:t xml:space="preserve">de geschiedschrijving over Karel de Grote kritisch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tussen het keizerrijk van Karel de Grote en het Romeinse keizerrijk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jaartal noemen van de keizerskroning van Karel de Grote</w:t>
              <w:br/>
              <w:t xml:space="preserve"/>
              <w:br/>
              <w:t xml:space="preserve">deze overeenkomsten en verschillen afleiden uit bronnen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culturele heropleving aan het Frankische hof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heropleving illustreren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verhouding tussen de Kerk en de Frankische koningen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doopsel van Clovis (=Chlodovech)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doopsel situeren in de tijd</w:t>
              <w:br/>
              <w:t xml:space="preserve"/>
              <w:br/>
              <w:t xml:space="preserve">de voordelen van die bekering uitleggen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tussen de paus en de Franken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relatie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versnippering van het Frankische rijk door het Verdrag van Verdun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versnippering van het Frankische rijk door het Verdrag van Verdun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Verdrag van Verdun situeren in de tijd</w:t>
              <w:br/>
              <w:t xml:space="preserve"/>
              <w:br/>
              <w:t xml:space="preserve">die versnippering aan de hand van een kaart uitleggen en vergelijken met een kaart van de hedendaagse situatie</w:t>
              <w:br/>
              <w:t xml:space="preserve"/>
              <w:br/>
              <w:t xml:space="preserve">de oorzaken van die versnippering verklaren</w:t>
              <w:br/>
              <w:t xml:space="preserve"/>
              <w:br/>
              <w:t xml:space="preserve">de rol van het gewoonterecht in die versnippering verklaren</w:t>
              <w:br/>
              <w:t xml:space="preserve"/>
              <w:br/>
              <w:t xml:space="preserve">de gevolgen van die versnippering uitleggen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feodaliteit of het leenwezen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werking van de feodaliteit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feodaliteit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rechten en plichten van de leenman (vazal) en de leenheer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rechten en plichten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achtervazal, kroondomein, kroonvazal, leen, leenheer, leenman, vazal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gevolgen van de feodaliteit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nadelige gevolgen van de feodaliteit op de koninklijke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standensamenleving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standensamenleving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standensamenleving uitleggen</w:t>
              <w:br/>
              <w:t xml:space="preserve"/>
              <w:br/>
              <w:t xml:space="preserve">deze samenleving vergelijken met onze samenleving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standen: adel, clerus en de derde 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bevolkingsgroepen die tot deze standen behoren benoemen</w:t>
              <w:br/>
              <w:t xml:space="preserve"/>
              <w:br/>
              <w:t xml:space="preserve">de rechten en de plichten van deze standen uitleggen en verklaren</w:t>
              <w:br/>
              <w:t xml:space="preserve"/>
              <w:br/>
              <w:t xml:space="preserve">de wederzijdse relatie van die drie standen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'marginale’ groepen uit het ancien régime: begijnen, 'heksen’, joden, ketters, mensen met een fysieke of mentale beperking, prostitués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groepen 'marginale’ groepen waren in de samenleving van het ancien régime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verhouding tussen het gedrag van personen en de maatschappelijke normen van die tijd: normconformerend of normafwijkend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gedrag van personen beoordelen als normconformerend of als normafwijkend gedrag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Kerk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vermenging van christelijke, Romeinse en Germaanse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vermenging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celibaat, christianiseren, concilie, kardinaal, kerstenen, ketterij, paus, sacrament, schisma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het christendom op het dagelijks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agrarische samenleving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domein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domein, gemene gronden, gesloten of zelfvoorzienende economie, heerlijke rechten, horige, lijfeigene, vroonhof en tenure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toepassen</w:t>
              <w:br/>
              <w:t xml:space="preserve"/>
              <w:br/>
              <w:t xml:space="preserve">het verschil uitleggen tussen lijfeigenschap en slavernij uit de klassieke oudheid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domein als zelfvoorzienend 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het domein een zelfvoorzienend systeem was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rechten en plichten van de inwoners van het domein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rechten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kenmerken van een agrarische samenleving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agrarische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vernieuwingen in de landbouw vanaf de 10e eeuw: het drieslagstelsel, het gareel, de karploeg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vernieuwingen uitleggen</w:t>
              <w:br/>
              <w:t xml:space="preserve"/>
              <w:br/>
              <w:t xml:space="preserve">de invloed van deze vernieuwingen op de voedselproductie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stad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ontstaan en de bloei van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bloei van de 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ontstaan en deze bloei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de heropbloei van de steden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plaats waar nieuwe steden ontstaan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plaatsen en hun voordelen benoemen en aanduiden op een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kenmerken van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middeleeuwse stad met een hedendaagse stad vergelijken op basis van grondplan, aantal inwoners, opbouw, activiteiten, bestuur,…</w:t>
              <w:br/>
              <w:t xml:space="preserve"/>
              <w:br/>
              <w:t xml:space="preserve">cijfergegevens over de verstedelijkingsgraad en de leefomstandigheden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concentrisch grondplan, rooilijn, stadswallen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toepassen op een middeleeuwse stad</w:t>
              <w:br/>
              <w:t xml:space="preserve"/>
              <w:br/>
              <w:t xml:space="preserve">stadsplattegronden vergelijken en de verschillende historische ontwikkelingen van steden verklaren aan de hand van gegeven bronnen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voornaamste gebouwen van een middeleeuwse stad: belfort, kathedraal, lakenhalle, marktplein, stadhuis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gebouwen herkennen op afbeeldingen</w:t>
              <w:br/>
              <w:t xml:space="preserve"/>
              <w:br/>
              <w:t xml:space="preserve">de functie van deze gebouwen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keure met de privileges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keure en privileges benoemen</w:t>
              <w:br/>
              <w:t xml:space="preserve"/>
              <w:br/>
              <w:t xml:space="preserve">de rol van de keure en de privileges in de strijd om de autonomie van de stad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poorter van een 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ambachten in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ambacht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monopoliepositie van de ambachten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monopoliepositie uitleggen,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vergelijking tussen ambachten en vakbonden vandaag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ambachten en vakbonden van vandaag met elkaar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handel in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gilden en de hanzen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actieve handel naar de jaarmarkten van Champagne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handel uitleggen en verklaren</w:t>
              <w:br/>
              <w:t xml:space="preserve"/>
              <w:br/>
              <w:t xml:space="preserve">deze handelsroute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 van Brugge in de internationale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positie uitleggen en verklaren</w:t>
              <w:br/>
              <w:t xml:space="preserve"/>
              <w:br/>
              <w:t xml:space="preserve">de handelsroutes in West-Europa aan de hand van een kaart uitleggen</w:t>
              <w:br/>
              <w:t xml:space="preserve"/>
              <w:br/>
              <w:t xml:space="preserve">de belangrijkste handelsproducten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actieve handel naar passieve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romaanse kunst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romaanse kunst situeren in de tijd</w:t>
              <w:br/>
              <w:t xml:space="preserve"/>
              <w:br/>
              <w:t xml:space="preserve">uit verschillende voorbeelden romaanse kunst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het woord 'romaans’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oorsprong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gotische kunst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gotische kunst situeren in de tijd</w:t>
              <w:br/>
              <w:t xml:space="preserve"/>
              <w:br/>
              <w:t xml:space="preserve">de gotische kunst vergelijken met de romaanse kunst</w:t>
              <w:br/>
              <w:t xml:space="preserve"/>
              <w:br/>
              <w:t xml:space="preserve">uit verschillende voorbeelden gotische kunst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het woord 'gotisch’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oorsprong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Vlaamse primitieven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drie Vlaamse primitieven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drie Vlaamse primitieven opnoemen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Vlaamse primitieven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en de invloed van de Vlaamse primitieven op de Europese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en die invloed verklaren en toepassen</w:t>
              <w:br/>
              <w:t xml:space="preserve"/>
              <w:br/>
              <w:t xml:space="preserve">uitleggen waarom de Vlaamse primitieven vernieuwend waren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politieke 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politieke evolutie in Frankrijk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positieve elementen voor de koninklijke macht: erfelijkheid koningschap, geschoolde ambtenaren, Parlement van Parijs, zalving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negatieve elementen voor de koninklijke macht: leenstelsel, privileges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van de slag bij Bouvines (1214) voor de koninklijke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veldslag situeren in de tijd</w:t>
              <w:br/>
              <w:t xml:space="preserve"/>
              <w:br/>
              <w:t xml:space="preserve">dit gevolg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politieke evolutie in Engeland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van de slag bij Hastings (1066) voor de koninklijke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veldslag situeren in de tijd</w:t>
              <w:br/>
              <w:t xml:space="preserve"/>
              <w:br/>
              <w:t xml:space="preserve">dit gevolg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positieve elementen voor de koninklijke macht: domesday book, sheriffs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negatieve elementen voor de koninklijke macht: magna charta (1215), parlement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benoemen, verklaren en toepassen</w:t>
              <w:br/>
              <w:t xml:space="preserve"/>
              <w:br/>
              <w:t xml:space="preserve">de magna charta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van de slag bij Bouvines (1214) voor de koninklijke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gevolg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Westerse samenlevingen in de nieuwe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ontdekkingsreizen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ontdekkingsreizigers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conquistador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motieven voor de ontdekkingsreizen: cultureel, economisch en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technische mogelijkheden voor de ontdekkingsreizen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mogelijkheden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bekendste ontdekkingsreizigers: Barentsz, Cartier, Columbus, Cook, Cortez, da Gama, Diaz, Eriksson, Magellaan, Pizarro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verdienste van deze ontdekkingsreizigers benoemen</w:t>
              <w:br/>
              <w:t xml:space="preserve"/>
              <w:br/>
              <w:t xml:space="preserve">de route van deze ontdekkingsreizigers aan de hand van een kaart uitleggen</w:t>
              <w:br/>
              <w:t xml:space="preserve"/>
              <w:br/>
              <w:t xml:space="preserve">de ontdekkingsreizigers met het juiste Europese land verbinden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Verdragen van Tordesillas (1494) en Zaragoza (1529)</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deze verdragen uitleggen en aanduiden op een kaart</w:t>
              <w:br/>
              <w:t xml:space="preserve"/>
              <w:br/>
              <w:t xml:space="preserve">de landen die die verdragen sloten, benoemen</w:t>
              <w:br/>
              <w:t xml:space="preserve"/>
              <w:br/>
              <w:t xml:space="preserve">de invloed van deze verdragen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cartografie en de driehoekshandel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in de cartografie als gevolg van de ontdekkingsreizen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en verklaren</w:t>
              <w:br/>
              <w:t xml:space="preserve"/>
              <w:br/>
              <w:t xml:space="preserve">kaarten uit de klassieke oudheid, de middeleeuwen, de nieuwe tijd en de eigen tijd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Mercator in de cartografie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driehoekshandel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br/>
              <w:t xml:space="preserve"/>
              <w:br/>
              <w:t xml:space="preserve">de handelsroutes aanduiden op een kaart</w:t>
              <w:br/>
              <w:t xml:space="preserve"/>
              <w:br/>
              <w:t xml:space="preserve">de koopwaar die verhandeld werd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gevolgen van de ontdekkingsreizen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gevolgen: het koloniaal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illustreren</w:t>
              <w:br/>
              <w:t xml:space="preserve"/>
              <w:br/>
              <w:t xml:space="preserve">deze gevolgen benoemen,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sociale gevolgen: het bevolkingsaantal en de mengrassen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culturele gevolgen: opleggen van het christendom en de Europese 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gevolgen: monocultuur, roofbouw, uitbuiting in landbouw en mijnbouw, verspreiding van nieuwe gewassen en 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slavenhandel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deze handel benoemen, verklaren 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humanisme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verspreiding van het humanisme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en de verspreiding situeren in de tijd 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het humanisme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humanisten en hun ideeën: Descartes, Copernicus, Erasmus, Galilei, Locke, Macchiavelli, Thomas More, Vesalius, Vives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humanisten situeren in de tijd</w:t>
              <w:br/>
              <w:t xml:space="preserve"/>
              <w:br/>
              <w:t xml:space="preserve">ideeën van deze humanisten uit bronnen afleiden</w:t>
              <w:br/>
              <w:t xml:space="preserve"/>
              <w:br/>
              <w:t xml:space="preserve">ideeën van deze humanisten met de juiste bronnen verbinden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reformatie en de contrareformatie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reformatie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het humanisme en de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Maarten Luther en Johannes Calvijn en hun ideeën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personen situeren in de tijd en in de ruimte</w:t>
              <w:br/>
              <w:t xml:space="preserve"/>
              <w:br/>
              <w:t xml:space="preserve">hun ideeën uitleggen, verklaren en toepassen</w:t>
              <w:br/>
              <w:t xml:space="preserve"/>
              <w:br/>
              <w:t xml:space="preserve">hun ideeën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verspreiding van de protestantse strekkingen in Europa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verspreiding van een kaart afleiden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contrareformatie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contrareformatie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maatregelen van de contrareformatie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maatregelen uitleggen, verklaren en toepassen</w:t>
              <w:br/>
              <w:t xml:space="preserve"/>
              <w:br/>
              <w:t xml:space="preserve">deze maatregelen verbinden met wantoestanden in de Kerk</w:t>
              <w:br/>
              <w:t xml:space="preserve"/>
              <w:br/>
              <w:t xml:space="preserve">deze maatregelen verbinden met ideeën van de reformatie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aflaat, catechismus, celibaat, dogma, index, inquisitie, sacramenten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renaissance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renaissancekunst situeren in de tijd</w:t>
              <w:br/>
              <w:t xml:space="preserve"/>
              <w:br/>
              <w:t xml:space="preserve">de renaissancekunst vergelijken met kunst uit de middeleeuwen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het woord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oorsprong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renaissancekunst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het humanisme en 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barok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barokkunst situeren in de tijd</w:t>
              <w:br/>
              <w:t xml:space="preserve"/>
              <w:br/>
              <w:t xml:space="preserve">de invloed van de barokkunst in onze gewesten uitleggen</w:t>
              <w:br/>
              <w:t xml:space="preserve"/>
              <w:br/>
              <w:t xml:space="preserve">de barokkunst vergelijken met kunst uit de middeleeuwen en de renaissance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het woord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oorsprong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barokkunst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barok en de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barok en de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economische veranderingen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Veranderingen in de landbouw</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vooruitgang in de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vooruitgang afleiden uit bronnen</w:t>
              <w:br/>
              <w:t xml:space="preserve"/>
              <w:br/>
              <w:t xml:space="preserve">aantonen dat deze vooruitgang niet overal in Europa hetzelfde was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commerciële landbouw, koopkracht, voedergewassen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voordelen van het vruchtwisselingsstelsel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voordelen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Veranderingen in de nijverheid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opkomst van het 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'kapitalisme’ uitleggen, verklaren en toepassen</w:t>
              <w:br/>
              <w:t xml:space="preserve"/>
              <w:br/>
              <w:t xml:space="preserve">de veranderingen in de nijverheid verbinden met het kapitalisme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manufactuur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w:t>
              <w:br/>
              <w:t xml:space="preserve"/>
              <w:br/>
              <w:t xml:space="preserve">afbeeldingen van een manufactuur vergelijken met een ambachtsplaats en een moderne fabrieksruimte</w:t>
              <w:br/>
              <w:t xml:space="preserve"/>
              <w:br/>
              <w:t xml:space="preserve">benoemen welke kenmerken vernieuwend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een manufactuur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 en nadelen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technische vernieuwingen in de textielsector als begin van 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deze vernieuwingen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Veranderingen in de handel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ontdekkingsreizen op de internationale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aandelen, beurs, centrale bank, handelscompagnie, kaapvaart, stapelmarkt, wisselbrief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handelskapitalisme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protectionisme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br/>
              <w:t xml:space="preserve"/>
              <w:br/>
              <w:t xml:space="preserve">dit begrip toepassen op de specifieke Franse situatie onder minister Colbert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Nederlanden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Karel V en de Nederlanden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Nederlanden als onderdeel van het Habsburgse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stamboom uitleggen hoe de Nederlanden in handen komen van de Habsburgers</w:t>
              <w:br/>
              <w:t xml:space="preserve"/>
              <w:br/>
              <w:t xml:space="preserve">de gebieden van het Habsburgse rijk onder Karel V aanduiden op een kaart</w:t>
              <w:br/>
              <w:t xml:space="preserve"/>
              <w:br/>
              <w:t xml:space="preserve">de vijanden van het Habsburgse rijk aanduiden op een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Filips II en de Nederlanden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rijk van Filips II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rijk van Filips II vergelijken met het rijk van Karel V aan de hand van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verzet tegen Filips II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uitleggen, verklaren en toepassen</w:t>
              <w:br/>
              <w:t xml:space="preserve"/>
              <w:br/>
              <w:t xml:space="preserve">deze redenen verbinden met de juiste bevolkingsgroep die zich verzet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het begrip 'geuzen’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oorsprong verklaren</w:t>
              <w:br/>
              <w:t xml:space="preserve"/>
              <w:br/>
              <w:t xml:space="preserve">het begrip 'geuzen’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Beeldenstorm (1566)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Beeldenstorm situeren in de tijd</w:t>
              <w:br/>
              <w:t xml:space="preserve"/>
              <w:br/>
              <w:t xml:space="preserve">deze oorzaken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weerstandsrecht in het Plakkaat van Verlatinghe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recht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splitsing van de Nederlanden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afspraken van de Vrede van Münster (1648)</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Vrede van Münster situeren in de tijd</w:t>
              <w:br/>
              <w:t xml:space="preserve"/>
              <w:br/>
              <w:t xml:space="preserve">deze afspraken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Vrede van Münster voor de Noordelijke en de Zuidelijke Nederlanden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br/>
              <w:t xml:space="preserve"/>
              <w:br/>
              <w:t xml:space="preserve">deze gevolgen aan de hand van een kaart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politieke evolutie in Frankrijk en Engeland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politieke evolutie in Frankrijk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vorstelijk absolutisme in Frankrijk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'vorstelijk absolutisme’ uitleggen</w:t>
              <w:br/>
              <w:t xml:space="preserve"/>
              <w:br/>
              <w:t xml:space="preserve">de situatie in de nieuwe tijd vergelijken met de huidige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absolute macht van Lodewijk XIV of de zonnekoning op alle domeinen van de maatschappij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absolute macht van Lodewijk XIV uitleggen, illustreren, verklaren en toepassen</w:t>
              <w:br/>
              <w:t xml:space="preserve"/>
              <w:br/>
              <w:t xml:space="preserve">zijn bijnaam 'de zonnekoning’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droit divin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opvatting over de koninklijke macht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het paleis van Versailles in de absolute macht van Lodewijk XIV</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religieuze en de politieke betekenis van het Edict van Nantes (1598) en het Edict van Fontainebleau (1685)</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edicten situeren in de tijd</w:t>
              <w:br/>
              <w:t xml:space="preserve"/>
              <w:br/>
              <w:t xml:space="preserve">de belangrijkste beslissing van deze edicten benoemen</w:t>
              <w:br/>
              <w:t xml:space="preserve"/>
              <w:br/>
              <w:t xml:space="preserve">de religieuze en de politieke betekenis van deze edicten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moeilijkheden waarmee Lodewijk XIV werd geconfronteerd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moeilijkheden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politieke evolutie in Engeland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constitutionele, parlementaire monarchie in Engeland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'constitutioneel’ uitleggen</w:t>
              <w:br/>
              <w:t xml:space="preserve"/>
              <w:br/>
              <w:t xml:space="preserve">het begrip 'parlementair’ uitleggen</w:t>
              <w:br/>
              <w:t xml:space="preserve"/>
              <w:br/>
              <w:t xml:space="preserve">de koninklijke macht in Frankrijk en Engeland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de anglicaanse kerk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ontstaan verbinden met het privé-leven van Henrik VIII</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strijd tussen de koning en het parlement in de 17e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deze strijd uit bronnen afleiden</w:t>
              <w:br/>
              <w:t xml:space="preserve"/>
              <w:br/>
              <w:t xml:space="preserve">tegenstellingen in de visie op de macht tussen de koning en het parlement uit bronnen afleiden</w:t>
              <w:br/>
              <w:t xml:space="preserve"/>
              <w:br/>
              <w:t xml:space="preserve">de rol van de godsdienst in deze strijd uit bronnen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betekenis van de Glorious Revolution (1688)</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revolutie situeren in de tijd</w:t>
              <w:br/>
              <w:t xml:space="preserve"/>
              <w:br/>
              <w:t xml:space="preserve">deze betekenis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de Declaration of Rights (1689)</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document situeren in de tijd</w:t>
              <w:br/>
              <w:t xml:space="preserve"/>
              <w:br/>
              <w:t xml:space="preserve">het belang van dit document uitleggen, verklaren en toepassen</w:t>
              <w:br/>
              <w:t xml:space="preserve"/>
              <w:br/>
              <w:t xml:space="preserve">verklaren hoe dit document van Engeland een constitutionele monarchie maakt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situatie in Engeland, Frankrijk en de Nederlanden in de nieuwe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politieke situatie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verlichting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ideeën van de verlichting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het ontstaan van de verlichting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ideeën van de verlichting: grondwet, rechtsgelijkheid, rechtszekerheid, scheiding der machten, volkssoevereiniteit, vrijheid, weerstandsrecht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en toepassen</w:t>
              <w:br/>
              <w:t xml:space="preserve"/>
              <w:br/>
              <w:t xml:space="preserve">deze ideeën verbinden met de juiste filosofen</w:t>
              <w:br/>
              <w:t xml:space="preserve"/>
              <w:br/>
              <w:t xml:space="preserve">de invloed van deze ideeën op onze maatschappij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religieuze ideeën van de verlichting: atheïsme, deïsme, tolerantie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wetenschappelijke ideeën van de verlichting: de ratio, het vooruitgangsoptimisme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verlicht despotisme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verlicht despotisme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br/>
              <w:t xml:space="preserve"/>
              <w:br/>
              <w:t xml:space="preserve">dit begrip verbinden met de uitspraak 'alles voor het volk, niets door het volk'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van verlicht despoot Jozef II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dit beleid uit bronnen afleiden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Amerikaanse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Amerikaanse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Amerikaanse onafhankelijkheidsverklaring op 4 juli 1776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datum van de onafhankelijkheidsverklaring benoemen</w:t>
              <w:br/>
              <w:t xml:space="preserve"/>
              <w:br/>
              <w:t xml:space="preserve">de invloed van de politieke verlichtingsideeën op de verklaring uitleggen, verklaren en toepassen</w:t>
              <w:br/>
              <w:t xml:space="preserve"/>
              <w:br/>
              <w:t xml:space="preserve">deze verklaring aan de hand van bronnen vergelijken met het Plakkaat van Verlatinghe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Amerikaanse grondwet: republiek, federale staat, scheiding der machten, checks and balances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br/>
              <w:t xml:space="preserve"/>
              <w:br/>
              <w:t xml:space="preserve">de invloed van de politieke verlichtingsideeën op deze grondwet uitleggen, verklaren en toepassen</w:t>
              <w:br/>
              <w:t xml:space="preserve"/>
              <w:br/>
              <w:t xml:space="preserve">deze grondwet aan de hand van bronnen vergelijken met de huidige situatie</w:t>
              <w:br/>
              <w:t xml:space="preserve"/>
              <w:br/>
              <w:t xml:space="preserve">het begrip 'republiek’ uit de nieuwe tijd vergelijken met het begrip uit de klassieke oudheid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Franse revolutie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oorzaken en de aanleiding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Franse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de aanleiding uitleggen, verklaren en toepassen</w:t>
              <w:br/>
              <w:t xml:space="preserve"/>
              <w:br/>
              <w:t xml:space="preserve">deze oorzaken uit spotprenten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Bestorming van de Bastille (14 juli 1789)</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datum van de bestorming benoemen</w:t>
              <w:br/>
              <w:t xml:space="preserve"/>
              <w:br/>
              <w:t xml:space="preserve">de symboliek van de Bastille uitleggen</w:t>
              <w:br/>
              <w:t xml:space="preserve"/>
              <w:br/>
              <w:t xml:space="preserve">de rol van een deel van de derde stand in deze bestorming uitleggen en verklaren</w:t>
              <w:br/>
              <w:t xml:space="preserve"/>
              <w:br/>
              <w:t xml:space="preserve">de invloed van deze bestorming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'Verklaring van de Rechten van de Mens en de Burger'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Verklaring van de Rechten van de Mens en de Burger vergelijken met de Amerikaanse onafhankelijkheidsverklaring en de Amerikaanse grondwet</w:t>
              <w:br/>
              <w:t xml:space="preserve"/>
              <w:br/>
              <w:t xml:space="preserve">het belang van deze verklaring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gevolgen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revolutie voor Frankrijk zelf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het Frans bestuur onder Napoleon in onze gewesten: afschaffing standensamenleving, afschaffing ambachten, wetboeken, kadaster, decimaal stelsel, scheiding van kerk en staat, burgerlijke stand, staatsonderwijs, openbare onderstand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veranderingen uitleggen, verklaren, toepassen en analyseren</w:t>
              <w:br/>
              <w:t xml:space="preserve"/>
              <w:br/>
              <w:t xml:space="preserve">verklaren hoe voor- en tegenstanders van deze veranderingen aanleiding geven tot het ontstaan van de breuklijn tussen klerikalen en antiklerikalen in de 19e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revolutie en het einde van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 Franse revolutie het einde betekent van het ancien régime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Niet-westerse samenlevingen in de nieuwe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Arabische rijk</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groei van het Arabische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aan de hand van een kaart</w:t>
              <w:br/>
              <w:t xml:space="preserve"/>
              <w:br/>
              <w:t xml:space="preserve">het Arabische rijk aanduiden op een kaart</w:t>
              <w:br/>
              <w:t xml:space="preserve"/>
              <w:br/>
              <w:t xml:space="preserve">het Arabische rijk vergelijken met een hedendaagse kaart over de verspreiding van de islam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islamitische jaartelling vanaf 622</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dat het Arabische rijk een andere jaartelling heeft dan de christelijke</w:t>
              <w:br/>
              <w:t xml:space="preserve"/>
              <w:br/>
              <w:t xml:space="preserve">verklaren waarom 622 het begin is van de islamitische jaartelling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vijf zuilen van de islam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zuilen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soennieten en de sjiieten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twee richtingen in de islam benoemen, verklaren en toepassen</w:t>
              <w:br/>
              <w:t xml:space="preserve"/>
              <w:br/>
              <w:t xml:space="preserve">aantonen dat die twee richtingen ook vandaag nog een rol 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bijdrage van de Arabische cultuur en wetenschap aan de westerse cultuur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bijdrage uitleggen, verklaren en toepassen</w:t>
              <w:br/>
              <w:t xml:space="preserve"/>
              <w:br/>
              <w:t xml:space="preserve">verklaren waarom de Arabische cultuur en wetenschap verder stonden dan de westerse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visie op het christendom in het Arabische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visie afleiden uit bronnen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Inca's en de Azteken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precolumbiaanse beschavingen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br/>
              <w:t xml:space="preserve"/>
              <w:br/>
              <w:t xml:space="preserve">illustreren dat er veel verschillende beschavingen onder dit begrip vallen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beschavingen van de Inca’s en de Azteken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beschavingen aanduiden op een kaart</w:t>
              <w:br/>
              <w:t xml:space="preserve"/>
              <w:br/>
              <w:t xml:space="preserve">deze kenmerken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tussen de beschavingen van de Inca’s en de Azteken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overeenkomsten en verschillen afleiden uit bronnen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ontdekkingsreizen en de kolonisatie op deze beschavingen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Overeenkomsten en verschillen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tussen niet-westerse beschavingen (Arabisch, Byzantijns, Inca’s en Azteken) en westerse beschavingen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overeenkomsten en verschillen afleiden uit bronnen</w:t>
              <w:br/>
              <w:t xml:space="preserve"/>
              <w:br/>
              <w:t xml:space="preserve">bronnen verbinden met de juiste niet-westerse beschaving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Vanaf het examen in januari 2018 zal je een opdracht moeten uitvoeren. De opdracht volgt later.</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01-08-2017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2A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blauwe of zwarte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16%</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Westerse samenlevingen in de middeleeuwen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Westerse samenlevingen in de nieuwe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Niet-westerse samenlevingen in het ancien régime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Memoria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Janus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Passages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Belgische geschiedenis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