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http://www.ond.vlaanderen.be/curriculum/secundair-onderwijs/specifieke-eindtermen-aso/-/economie/specifieke-eindtermen.htm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leert je kritisch reflecteren op de actualiteit vanuit een economisch perspectief en zo zal je als een kritische en weerbare burger kunnen  participeren aan onze samenleving.</w:t>
        <w:br/>
        <w:t xml:space="preserve"/>
        <w:br/>
        <w:t xml:space="preserve">Het vak </w:t>
      </w:r>
      <w:r>
        <w:rPr>
          <w:b/>
        </w:rPr>
        <w:t xml:space="preserve">bedrijfseconomie </w:t>
      </w:r>
      <w:r>
        <w:rPr/>
        <w:t xml:space="preserve">is een childvak van het vak economie, samen met het vak algemene economie.</w:t>
        <w:br/>
        <w:t xml:space="preserve"/>
        <w:br/>
        <w:t xml:space="preserve">Voor dit vak economie werk je ook aan je onderzoekscompetenties. Hierdoor kan je je onderzoeksvaardigheden oefenen, zowel in functie van levenslang leren als ter voorbereiding op de bachelor- en masterproeven in het hoger onderwijs. Je leert hypotheses of vragen te formuleren, analyseren, argumenteren, bewijzen en hierover te rapporteren. Tenslotte leer je kritisch reflecteren op je denken en handelen.</w:t>
        <w:br/>
        <w:t xml:space="preserve">Het werken aan je onderzoeksvaardigheden  helpt je om verbanden te leggen binnen het vak economie alsook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ondernemingen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ondernemingen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 als 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 als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 als organisatie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Doelstellingen van ondernemingen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voortbestaan van de onderneming verzekeren</w:t>
              <w:br/>
              <w:t xml:space="preserve">het zorgen voor tewerkstelling</w:t>
              <w:br/>
              <w:t xml:space="preserve">marktuitbreiding</w:t>
              <w:br/>
              <w:t xml:space="preserve">winst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de onderneming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ondernemingsvormen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r>
          </w:p>
          <w:p>
            <w:pPr>
              <w:pStyle w:val="ListParagraph"/>
              <w:numPr>
                <w:ilvl w:val="0"/>
                <w:numId w:val="8"/>
              </w:numPr>
            </w:pPr>
            <w:r>
              <w:rPr/>
              <w:t xml:space="preserve">de eenmanszaak versus de vennootschap</w:t>
            </w:r>
          </w:p>
          <w:p>
            <w:pPr>
              <w:pStyle w:val="ListParagraph"/>
              <w:numPr>
                <w:ilvl w:val="1"/>
                <w:numId w:val="8"/>
              </w:numPr>
            </w:pPr>
            <w:r>
              <w:rPr/>
              <w:t xml:space="preserve">de eenmanszaak</w:t>
            </w:r>
          </w:p>
          <w:p>
            <w:pPr>
              <w:pStyle w:val="ListParagraph"/>
              <w:numPr>
                <w:ilvl w:val="1"/>
                <w:numId w:val="8"/>
              </w:numPr>
            </w:pPr>
            <w:r>
              <w:rPr/>
              <w:t xml:space="preserve">de vennootschap</w:t>
              <w:br/>
              <w:t xml:space="preserve"> </w:t>
            </w:r>
          </w:p>
          <w:p>
            <w:pPr>
              <w:pStyle w:val="ListParagraph"/>
              <w:numPr>
                <w:ilvl w:val="0"/>
                <w:numId w:val="8"/>
              </w:numPr>
            </w:pPr>
            <w:r>
              <w:rPr/>
              <w:t xml:space="preserve">de kenmerken van de eenmanszaak versus de kenmerken van de vennootschap</w:t>
            </w:r>
          </w:p>
          <w:p>
            <w:pPr>
              <w:pStyle w:val="ListParagraph"/>
              <w:numPr>
                <w:ilvl w:val="1"/>
                <w:numId w:val="8"/>
              </w:numPr>
            </w:pPr>
            <w:r>
              <w:rPr/>
              <w:t xml:space="preserve">de formaliteiten en kosten bij de oprichting</w:t>
            </w:r>
          </w:p>
          <w:p>
            <w:pPr>
              <w:pStyle w:val="ListParagraph"/>
              <w:numPr>
                <w:ilvl w:val="1"/>
                <w:numId w:val="8"/>
              </w:numPr>
            </w:pPr>
            <w:r>
              <w:rPr/>
              <w:t xml:space="preserve">de aansprakelijkheid</w:t>
            </w:r>
          </w:p>
          <w:p>
            <w:pPr>
              <w:pStyle w:val="ListParagraph"/>
              <w:numPr>
                <w:ilvl w:val="1"/>
                <w:numId w:val="8"/>
              </w:numPr>
            </w:pPr>
            <w:r>
              <w:rPr/>
              <w:t xml:space="preserve">het overleg</w:t>
            </w:r>
          </w:p>
          <w:p>
            <w:pPr>
              <w:pStyle w:val="ListParagraph"/>
              <w:numPr>
                <w:ilvl w:val="1"/>
                <w:numId w:val="8"/>
              </w:numPr>
            </w:pPr>
            <w:r>
              <w:rPr/>
              <w:t xml:space="preserve">de winstdeling</w:t>
            </w:r>
          </w:p>
          <w:p>
            <w:pPr>
              <w:pStyle w:val="ListParagraph"/>
              <w:numPr>
                <w:ilvl w:val="1"/>
                <w:numId w:val="8"/>
              </w:numPr>
            </w:pPr>
            <w:r>
              <w:rPr/>
              <w:t xml:space="preserve">het aantrekken van vermogen</w:t>
            </w:r>
          </w:p>
          <w:p>
            <w:pPr>
              <w:pStyle w:val="ListParagraph"/>
              <w:numPr>
                <w:ilvl w:val="1"/>
                <w:numId w:val="8"/>
              </w:numPr>
            </w:pPr>
            <w:r>
              <w:rPr/>
              <w:t xml:space="preserve">de continuïteit (het voortbestaan) van de onderneming</w:t>
            </w:r>
          </w:p>
          <w:p>
            <w:pPr>
              <w:pStyle w:val="ListParagraph"/>
              <w:numPr>
                <w:ilvl w:val="1"/>
                <w:numId w:val="8"/>
              </w:numPr>
            </w:pPr>
            <w:r>
              <w:rPr/>
              <w:t xml:space="preserve">het belastingstelsel</w:t>
            </w:r>
          </w:p>
          <w:p>
            <w:pPr>
              <w:pStyle w:val="ListParagraph"/>
              <w:numPr>
                <w:ilvl w:val="1"/>
                <w:numId w:val="8"/>
              </w:numPr>
            </w:pPr>
            <w:r>
              <w:rPr/>
              <w:t xml:space="preserve">de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eenmanszaak en de vennootschap benoemen, beschrijven en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BELANGRIJK:</w:t>
            </w:r>
            <w:r>
              <w:rPr/>
              <w:t xml:space="preserve"/>
              <w:br/>
              <w:t xml:space="preserve"/>
              <w:br/>
              <w:t xml:space="preserve"/>
            </w:r>
            <w:r>
              <w:rPr>
                <w:b/>
              </w:rPr>
              <w:t xml:space="preserve">De nieuwe wet op de vennootschappen trad in werking vanaf 1 mei 2019.</w:t>
            </w:r>
            <w:r>
              <w:rPr/>
              <w:t xml:space="preserve"/>
              <w:br/>
              <w:t xml:space="preserve"/>
              <w:br/>
              <w:t xml:space="preserve"/>
            </w:r>
            <w:r>
              <w:rPr>
                <w:b/>
              </w:rPr>
              <w:t xml:space="preserve">Door deze nieuwe wet verdwijnen de volgende vennootschappen:</w:t>
            </w:r>
            <w:r>
              <w:rPr/>
              <w:t xml:space="preserve"/>
              <w:br/>
              <w:t xml:space="preserve"/>
              <w:br/>
              <w:t xml:space="preserve"/>
            </w:r>
            <w:r>
              <w:rPr>
                <w:b/>
              </w:rPr>
              <w:t xml:space="preserve">o       de commanditaire vennootschap op aandelen (comm va)</w:t>
            </w:r>
            <w:r>
              <w:rPr/>
              <w:t xml:space="preserve"/>
              <w:br/>
              <w:t xml:space="preserve"/>
              <w:br/>
              <w:t xml:space="preserve"/>
            </w:r>
            <w:r>
              <w:rPr>
                <w:b/>
              </w:rPr>
              <w:t xml:space="preserve">o       de eenpersoonsvennootschap met beperkte aansprakelijkheid (ebvba)</w:t>
            </w:r>
            <w:r>
              <w:rPr/>
              <w:t xml:space="preserve"/>
              <w:br/>
              <w:t xml:space="preserve"/>
              <w:br/>
              <w:t xml:space="preserve"/>
            </w:r>
            <w:r>
              <w:rPr>
                <w:b/>
              </w:rPr>
              <w:t xml:space="preserve">o       de besloten vennootschap met beperkte aansprakelijkheid (bvba)</w:t>
            </w:r>
            <w:r>
              <w:rPr/>
              <w:t xml:space="preserve"/>
              <w:br/>
              <w:t xml:space="preserve"/>
              <w:br/>
              <w:t xml:space="preserve"> </w:t>
              <w:br/>
              <w:t xml:space="preserve"/>
              <w:br/>
              <w:t xml:space="preserve"/>
            </w:r>
            <w:r>
              <w:rPr>
                <w:b/>
              </w:rPr>
              <w:t xml:space="preserve">Deze vennootschappen zijn in de nieuwe wetgeving opgenomen :</w:t>
            </w:r>
            <w:r>
              <w:rPr/>
              <w:t xml:space="preserve"/>
              <w:br/>
              <w:t xml:space="preserve"/>
              <w:br/>
              <w:t xml:space="preserve"/>
            </w:r>
            <w:r>
              <w:rPr>
                <w:b/>
              </w:rPr>
              <w:t xml:space="preserve">o       de coöperatieve vennootschap (cv)</w:t>
            </w:r>
            <w:r>
              <w:rPr/>
              <w:t xml:space="preserve"/>
              <w:br/>
              <w:t xml:space="preserve"/>
              <w:br/>
              <w:t xml:space="preserve"/>
            </w:r>
            <w:r>
              <w:rPr>
                <w:b/>
              </w:rPr>
              <w:t xml:space="preserve">o       de besloten vennootschap (bv)</w:t>
            </w:r>
            <w:r>
              <w:rPr/>
              <w:t xml:space="preserve"/>
              <w:br/>
              <w:t xml:space="preserve"/>
              <w:br/>
              <w:t xml:space="preserve"/>
            </w:r>
            <w:r>
              <w:rPr>
                <w:b/>
              </w:rPr>
              <w:t xml:space="preserve">o       de naamloze vennootschap (nv)</w:t>
            </w:r>
            <w:r>
              <w:rPr/>
              <w:t xml:space="preserve"/>
              <w:br/>
              <w:t xml:space="preserve"/>
              <w:br/>
              <w:t xml:space="preserve"/>
            </w:r>
            <w:r>
              <w:rPr>
                <w:b/>
              </w:rPr>
              <w:t xml:space="preserve">o       de maatschap (vof en de comm v)</w:t>
            </w:r>
            <w:r>
              <w:rPr/>
              <w:t xml:space="preserve"/>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vennootschapsvormen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cv, bv, nv en de maatschap</w:t>
            </w:r>
          </w:p>
          <w:p>
            <w:pPr>
              <w:pStyle w:val="ListParagraph"/>
              <w:numPr>
                <w:ilvl w:val="0"/>
                <w:numId w:val="9"/>
              </w:numPr>
            </w:pPr>
            <w:r>
              <w:rPr/>
              <w:t xml:space="preserve">het aantal vennoten</w:t>
            </w:r>
          </w:p>
          <w:p>
            <w:pPr>
              <w:pStyle w:val="ListParagraph"/>
              <w:numPr>
                <w:ilvl w:val="0"/>
                <w:numId w:val="9"/>
              </w:numPr>
            </w:pPr>
            <w:r>
              <w:rPr/>
              <w:t xml:space="preserve">het minimumkapitaal</w:t>
            </w:r>
          </w:p>
          <w:p>
            <w:pPr>
              <w:pStyle w:val="ListParagraph"/>
              <w:numPr>
                <w:ilvl w:val="0"/>
                <w:numId w:val="9"/>
              </w:numPr>
            </w:pPr>
            <w:r>
              <w:rPr/>
              <w:t xml:space="preserve">de overdraagbaarheid aandelen</w:t>
            </w:r>
          </w:p>
          <w:p>
            <w:pPr>
              <w:pStyle w:val="ListParagraph"/>
              <w:numPr>
                <w:ilvl w:val="0"/>
                <w:numId w:val="9"/>
              </w:numPr>
            </w:pPr>
            <w:r>
              <w:rPr/>
              <w:t xml:space="preserve">het beschikbaar vermogen</w:t>
            </w:r>
          </w:p>
          <w:p>
            <w:pPr>
              <w:pStyle w:val="ListParagraph"/>
              <w:numPr>
                <w:ilvl w:val="0"/>
                <w:numId w:val="9"/>
              </w:numPr>
            </w:pPr>
            <w:r>
              <w:rPr/>
              <w:t xml:space="preserve">het bestuur</w:t>
            </w:r>
          </w:p>
          <w:p>
            <w:pPr>
              <w:pStyle w:val="ListParagraph"/>
              <w:numPr>
                <w:ilvl w:val="0"/>
                <w:numId w:val="9"/>
              </w:numPr>
            </w:pPr>
            <w:r>
              <w:rPr/>
              <w:t xml:space="preserve">de aansprakelijkheid en oprichtersaansprakelijkheid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bv, nv, cv en de maatschap op grond van deze kenmerken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de ondernemingsvorm</w:t>
            </w:r>
          </w:p>
          <w:p>
            <w:pPr>
              <w:pStyle w:val="ListParagraph"/>
              <w:numPr>
                <w:ilvl w:val="0"/>
                <w:numId w:val="10"/>
              </w:numPr>
            </w:pPr>
            <w:r>
              <w:rPr/>
              <w:t xml:space="preserve">de keuze van de ondernemingsvorm</w:t>
            </w:r>
          </w:p>
          <w:p>
            <w:pPr>
              <w:pStyle w:val="ListParagraph"/>
              <w:numPr>
                <w:ilvl w:val="0"/>
                <w:numId w:val="10"/>
              </w:numPr>
            </w:pPr>
            <w:r>
              <w:rPr/>
              <w:t xml:space="preserve">de ondernemingsvorm een middel om het ondernemingsrisico te beperken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de ondernemingsvorm verklaren en toepassen</w:t>
              <w:br/>
              <w:t xml:space="preserve">de keuze van de ondernemingsvorm als middel om het ondernemingsrisico te beperken beschrijven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ondernemingsbudget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ondernemingsbudget</w:t>
            </w:r>
          </w:p>
          <w:p>
            <w:pPr>
              <w:pStyle w:val="ListParagraph"/>
              <w:numPr>
                <w:ilvl w:val="0"/>
                <w:numId w:val="11"/>
              </w:numPr>
            </w:pPr>
            <w:r>
              <w:rPr/>
              <w:t xml:space="preserve">het ondernemingsbudget als controle-instrument</w:t>
            </w:r>
          </w:p>
          <w:p>
            <w:pPr>
              <w:pStyle w:val="ListParagraph"/>
              <w:numPr>
                <w:ilvl w:val="0"/>
                <w:numId w:val="11"/>
              </w:numPr>
            </w:pPr>
            <w:r>
              <w:rPr/>
              <w:t xml:space="preserve">de onderdelen van het ondernemingsbudget</w:t>
            </w:r>
          </w:p>
          <w:p>
            <w:pPr>
              <w:pStyle w:val="ListParagraph"/>
              <w:numPr>
                <w:ilvl w:val="0"/>
                <w:numId w:val="11"/>
              </w:numPr>
            </w:pPr>
            <w:r>
              <w:rPr/>
              <w:t xml:space="preserve">de verwachte omzet</w:t>
            </w:r>
          </w:p>
          <w:p>
            <w:pPr>
              <w:pStyle w:val="ListParagraph"/>
              <w:numPr>
                <w:ilvl w:val="0"/>
                <w:numId w:val="11"/>
              </w:numPr>
            </w:pPr>
            <w:r>
              <w:rPr/>
              <w:t xml:space="preserve">de verwachte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ondernemingsbudget benoemen en beschrijven</w:t>
              <w:br/>
              <w:t xml:space="preserve">het ondernemingsbudget als controle-instrument om de ondernemingsdoelstellingen te bewaken beschrijven</w:t>
              <w:br/>
              <w:t xml:space="preserve">de onderdelen van het ondernemingsbudget benoemen en beschrijven </w:t>
              <w:br/>
              <w:t xml:space="preserve">beschrijven hoe het budget als controle-instrument kan gebruikt worden ter bewaking van de ondernemingsdoelstellingen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financieringsbehoeften en de financieringsbronnen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financieringsbehoeften</w:t>
            </w:r>
          </w:p>
          <w:p>
            <w:pPr>
              <w:pStyle w:val="ListParagraph"/>
              <w:numPr>
                <w:ilvl w:val="0"/>
                <w:numId w:val="12"/>
              </w:numPr>
            </w:pPr>
            <w:r>
              <w:rPr/>
              <w:t xml:space="preserve">de financieringsbehoeften op korte termijn</w:t>
            </w:r>
          </w:p>
          <w:p>
            <w:pPr>
              <w:pStyle w:val="ListParagraph"/>
              <w:numPr>
                <w:ilvl w:val="0"/>
                <w:numId w:val="12"/>
              </w:numPr>
            </w:pPr>
            <w:r>
              <w:rPr/>
              <w:t xml:space="preserve">de financieringsbehoeften op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financieringsbehoeften van een onderneming bepalen</w:t>
              <w:br/>
              <w:t xml:space="preserve">het onderscheid tussen financieringsbehoeften op korte en lange termijn beschrijven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financieringsbronnen</w:t>
            </w:r>
          </w:p>
          <w:p>
            <w:pPr>
              <w:pStyle w:val="ListParagraph"/>
              <w:numPr>
                <w:ilvl w:val="0"/>
                <w:numId w:val="13"/>
              </w:numPr>
            </w:pPr>
            <w:r>
              <w:rPr/>
              <w:t xml:space="preserve">het eigen vermogen</w:t>
            </w:r>
          </w:p>
          <w:p>
            <w:pPr>
              <w:pStyle w:val="ListParagraph"/>
              <w:numPr>
                <w:ilvl w:val="1"/>
                <w:numId w:val="13"/>
              </w:numPr>
            </w:pPr>
            <w:r>
              <w:rPr/>
              <w:t xml:space="preserve">de zelffinanciering</w:t>
            </w:r>
          </w:p>
          <w:p>
            <w:pPr>
              <w:pStyle w:val="ListParagraph"/>
              <w:numPr>
                <w:ilvl w:val="1"/>
                <w:numId w:val="13"/>
              </w:numPr>
            </w:pPr>
            <w:r>
              <w:rPr/>
              <w:t xml:space="preserve">de kapitaalverhoging</w:t>
            </w:r>
          </w:p>
          <w:p>
            <w:pPr>
              <w:pStyle w:val="ListParagraph"/>
              <w:numPr>
                <w:ilvl w:val="0"/>
                <w:numId w:val="13"/>
              </w:numPr>
            </w:pPr>
            <w:r>
              <w:rPr/>
              <w:t xml:space="preserve">het vreemd vermogen op lange termijn</w:t>
            </w:r>
          </w:p>
          <w:p>
            <w:pPr>
              <w:pStyle w:val="ListParagraph"/>
              <w:numPr>
                <w:ilvl w:val="1"/>
                <w:numId w:val="13"/>
              </w:numPr>
            </w:pPr>
            <w:r>
              <w:rPr/>
              <w:t xml:space="preserve">de obligatielening</w:t>
            </w:r>
          </w:p>
          <w:p>
            <w:pPr>
              <w:pStyle w:val="ListParagraph"/>
              <w:numPr>
                <w:ilvl w:val="1"/>
                <w:numId w:val="13"/>
              </w:numPr>
            </w:pPr>
            <w:r>
              <w:rPr/>
              <w:t xml:space="preserve">de hypothecaire lening</w:t>
            </w:r>
          </w:p>
          <w:p>
            <w:pPr>
              <w:pStyle w:val="ListParagraph"/>
              <w:numPr>
                <w:ilvl w:val="1"/>
                <w:numId w:val="13"/>
              </w:numPr>
            </w:pPr>
            <w:r>
              <w:rPr/>
              <w:t xml:space="preserve">het investeringskrediet</w:t>
            </w:r>
          </w:p>
          <w:p>
            <w:pPr>
              <w:pStyle w:val="ListParagraph"/>
              <w:numPr>
                <w:ilvl w:val="1"/>
                <w:numId w:val="13"/>
              </w:numPr>
            </w:pPr>
            <w:r>
              <w:rPr/>
              <w:t xml:space="preserve">de leasing</w:t>
            </w:r>
          </w:p>
          <w:p>
            <w:pPr>
              <w:pStyle w:val="ListParagraph"/>
              <w:numPr>
                <w:ilvl w:val="1"/>
                <w:numId w:val="13"/>
              </w:numPr>
            </w:pPr>
            <w:r>
              <w:rPr/>
              <w:t xml:space="preserve">nieuwe financieringsbronnen zoals crowdfunding</w:t>
            </w:r>
          </w:p>
          <w:p>
            <w:pPr>
              <w:pStyle w:val="ListParagraph"/>
              <w:numPr>
                <w:ilvl w:val="0"/>
                <w:numId w:val="13"/>
              </w:numPr>
            </w:pPr>
            <w:r>
              <w:rPr/>
              <w:t xml:space="preserve">het vreemd vermogen op korte termijn</w:t>
            </w:r>
          </w:p>
          <w:p>
            <w:pPr>
              <w:pStyle w:val="ListParagraph"/>
              <w:numPr>
                <w:ilvl w:val="1"/>
                <w:numId w:val="13"/>
              </w:numPr>
            </w:pPr>
            <w:r>
              <w:rPr/>
              <w:t xml:space="preserve">het kaskrediet</w:t>
            </w:r>
          </w:p>
          <w:p>
            <w:pPr>
              <w:pStyle w:val="ListParagraph"/>
              <w:numPr>
                <w:ilvl w:val="1"/>
                <w:numId w:val="13"/>
              </w:numPr>
            </w:pPr>
            <w:r>
              <w:rPr/>
              <w:t xml:space="preserve">het leverancierskrediet</w:t>
            </w:r>
          </w:p>
          <w:p>
            <w:pPr>
              <w:pStyle w:val="ListParagraph"/>
              <w:numPr>
                <w:ilvl w:val="1"/>
                <w:numId w:val="13"/>
              </w:numPr>
            </w:pPr>
            <w:r>
              <w:rPr/>
              <w:t xml:space="preserve">de factoring</w:t>
            </w:r>
          </w:p>
          <w:p>
            <w:pPr>
              <w:pStyle w:val="ListParagraph"/>
              <w:numPr>
                <w:ilvl w:val="1"/>
                <w:numId w:val="13"/>
              </w:numPr>
            </w:pPr>
            <w:r>
              <w:rPr/>
              <w:t xml:space="preserve">nieuwe financieringsbronnen zoals crowdfunding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financieringsbronnen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keuze van een financieringsbron</w:t>
              <w:br/>
              <w:t xml:space="preserve">de hoofdfinancieringsregel</w:t>
              <w:br/>
              <w:t xml:space="preserve">de voor- en nadelen financieringsbronnen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hoofdfinancieringsregel bij de keuze van een financieringsbron toepassen</w:t>
              <w:br/>
              <w:t xml:space="preserve">bij een concrete financieringsbehoefte de voor- en nadelen van de financieringsbronnen t.o.v. elkaar vergelijken en de meest gepaste financieringsbron te kiezen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personeelsbeleid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14"/>
              </w:numPr>
            </w:pPr>
            <w:r>
              <w:rPr/>
              <w:t xml:space="preserve">de bedrijfscultuur</w:t>
            </w:r>
          </w:p>
          <w:p>
            <w:pPr>
              <w:pStyle w:val="ListParagraph"/>
              <w:numPr>
                <w:ilvl w:val="0"/>
                <w:numId w:val="14"/>
              </w:numPr>
            </w:pPr>
            <w:r>
              <w:rPr/>
              <w:t xml:space="preserve">de soorten bedrijfsculturen</w:t>
            </w:r>
          </w:p>
          <w:p>
            <w:pPr>
              <w:pStyle w:val="ListParagraph"/>
              <w:numPr>
                <w:ilvl w:val="1"/>
                <w:numId w:val="14"/>
              </w:numPr>
            </w:pPr>
            <w:r>
              <w:rPr/>
              <w:t xml:space="preserve">de machtscultuur</w:t>
            </w:r>
          </w:p>
          <w:p>
            <w:pPr>
              <w:pStyle w:val="ListParagraph"/>
              <w:numPr>
                <w:ilvl w:val="1"/>
                <w:numId w:val="14"/>
              </w:numPr>
            </w:pPr>
            <w:r>
              <w:rPr/>
              <w:t xml:space="preserve">de personencultuur</w:t>
            </w:r>
          </w:p>
          <w:p>
            <w:pPr>
              <w:pStyle w:val="ListParagraph"/>
              <w:numPr>
                <w:ilvl w:val="1"/>
                <w:numId w:val="14"/>
              </w:numPr>
            </w:pPr>
            <w:r>
              <w:rPr/>
              <w:t xml:space="preserve">de rollencultuur</w:t>
            </w:r>
          </w:p>
          <w:p>
            <w:pPr>
              <w:pStyle w:val="ListParagraph"/>
              <w:numPr>
                <w:ilvl w:val="1"/>
                <w:numId w:val="14"/>
              </w:numPr>
            </w:pPr>
            <w:r>
              <w:rPr/>
              <w:t xml:space="preserve">de taakcultuur</w:t>
            </w:r>
          </w:p>
          <w:p>
            <w:pPr>
              <w:pStyle w:val="ListParagraph"/>
              <w:numPr>
                <w:ilvl w:val="0"/>
                <w:numId w:val="14"/>
              </w:numPr>
            </w:pPr>
            <w:r>
              <w:rPr/>
              <w:t xml:space="preserve">het belang van de bedrijfscultuur</w:t>
              <w:br/>
              <w:t xml:space="preserve"/>
            </w:r>
          </w:p>
          <w:p>
            <w:r>
              <w:rPr/>
              <w:t xml:space="preserve">de organisatiestructuur</w:t>
            </w:r>
          </w:p>
          <w:p>
            <w:pPr>
              <w:pStyle w:val="ListParagraph"/>
              <w:numPr>
                <w:ilvl w:val="0"/>
                <w:numId w:val="15"/>
              </w:numPr>
            </w:pPr>
            <w:r>
              <w:rPr/>
              <w:t xml:space="preserve">de organisatiestructuur</w:t>
            </w:r>
          </w:p>
          <w:p>
            <w:pPr>
              <w:pStyle w:val="ListParagraph"/>
              <w:numPr>
                <w:ilvl w:val="0"/>
                <w:numId w:val="15"/>
              </w:numPr>
            </w:pPr>
            <w:r>
              <w:rPr/>
              <w:t xml:space="preserve">de soorten organisatiestructuren</w:t>
            </w:r>
          </w:p>
          <w:p>
            <w:pPr>
              <w:pStyle w:val="ListParagraph"/>
              <w:numPr>
                <w:ilvl w:val="1"/>
                <w:numId w:val="15"/>
              </w:numPr>
            </w:pPr>
            <w:r>
              <w:rPr/>
              <w:t xml:space="preserve">de lijnorganisatie</w:t>
            </w:r>
          </w:p>
          <w:p>
            <w:pPr>
              <w:pStyle w:val="ListParagraph"/>
              <w:numPr>
                <w:ilvl w:val="1"/>
                <w:numId w:val="15"/>
              </w:numPr>
            </w:pPr>
            <w:r>
              <w:rPr/>
              <w:t xml:space="preserve">de lijnstaforganisatie</w:t>
            </w:r>
          </w:p>
          <w:p>
            <w:pPr>
              <w:pStyle w:val="ListParagraph"/>
              <w:numPr>
                <w:ilvl w:val="1"/>
                <w:numId w:val="15"/>
              </w:numPr>
            </w:pPr>
            <w:r>
              <w:rPr/>
              <w:t xml:space="preserve">de functionele organisatie</w:t>
            </w:r>
          </w:p>
          <w:p>
            <w:pPr>
              <w:pStyle w:val="ListParagraph"/>
              <w:numPr>
                <w:ilvl w:val="0"/>
                <w:numId w:val="15"/>
              </w:numPr>
            </w:pPr>
            <w:r>
              <w:rPr/>
              <w:t xml:space="preserve">de voor- en nadelen van de soorten organisatiestructuren</w:t>
            </w:r>
          </w:p>
          <w:p>
            <w:pPr>
              <w:pStyle w:val="ListParagraph"/>
              <w:numPr>
                <w:ilvl w:val="0"/>
                <w:numId w:val="15"/>
              </w:numPr>
            </w:pPr>
            <w:r>
              <w:rPr/>
              <w:t xml:space="preserve">het organigram van een onderneming</w:t>
            </w:r>
          </w:p>
          <w:p>
            <w:pPr>
              <w:pStyle w:val="ListParagraph"/>
              <w:numPr>
                <w:ilvl w:val="0"/>
                <w:numId w:val="15"/>
              </w:numPr>
            </w:pPr>
            <w:r>
              <w:rPr/>
              <w:t xml:space="preserve">het belang van de organisatiestructuur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bedrijfscultuur en de soorten bedrijfsculturen beschrijven</w:t>
              <w:br/>
              <w:t xml:space="preserve">het begrip organisatiestructuur en de soorten organisatiestructuren beschrijven</w:t>
              <w:br/>
              <w:t xml:space="preserve">de voor- en nadelen van de soorten organisatiestructuren benoemen</w:t>
              <w:br/>
              <w:t xml:space="preserve">de organisatiestructuur van een onderneming weergeven in een organogram</w:t>
              <w:br/>
              <w:t xml:space="preserve">de invloed van de bedrijfscultuur en de organisatiestructuur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leiderschap</w:t>
            </w:r>
          </w:p>
          <w:p>
            <w:pPr>
              <w:pStyle w:val="ListParagraph"/>
              <w:numPr>
                <w:ilvl w:val="0"/>
                <w:numId w:val="16"/>
              </w:numPr>
            </w:pPr>
            <w:r>
              <w:rPr/>
              <w:t xml:space="preserve">de verschillende leiderschapstypes</w:t>
            </w:r>
          </w:p>
          <w:p>
            <w:pPr>
              <w:pStyle w:val="ListParagraph"/>
              <w:numPr>
                <w:ilvl w:val="1"/>
                <w:numId w:val="16"/>
              </w:numPr>
            </w:pPr>
            <w:r>
              <w:rPr/>
              <w:t xml:space="preserve">de autocratische leider</w:t>
            </w:r>
          </w:p>
          <w:p>
            <w:pPr>
              <w:pStyle w:val="ListParagraph"/>
              <w:numPr>
                <w:ilvl w:val="1"/>
                <w:numId w:val="16"/>
              </w:numPr>
            </w:pPr>
            <w:r>
              <w:rPr/>
              <w:t xml:space="preserve">de democratische leider</w:t>
            </w:r>
          </w:p>
          <w:p>
            <w:pPr>
              <w:pStyle w:val="ListParagraph"/>
              <w:numPr>
                <w:ilvl w:val="1"/>
                <w:numId w:val="16"/>
              </w:numPr>
            </w:pPr>
            <w:r>
              <w:rPr/>
              <w:t xml:space="preserve">de laisser faire leider</w:t>
            </w:r>
          </w:p>
          <w:p>
            <w:pPr>
              <w:pStyle w:val="ListParagraph"/>
              <w:numPr>
                <w:ilvl w:val="1"/>
                <w:numId w:val="16"/>
              </w:numPr>
            </w:pPr>
            <w:r>
              <w:rPr/>
              <w:t xml:space="preserve">de paternalistische leider</w:t>
            </w:r>
          </w:p>
          <w:p>
            <w:pPr>
              <w:pStyle w:val="ListParagraph"/>
              <w:numPr>
                <w:ilvl w:val="0"/>
                <w:numId w:val="16"/>
              </w:numPr>
            </w:pPr>
            <w:r>
              <w:rPr/>
              <w:t xml:space="preserve">de eigenschappen van een succesvolle leider</w:t>
            </w:r>
          </w:p>
          <w:p>
            <w:pPr>
              <w:pStyle w:val="ListParagraph"/>
              <w:numPr>
                <w:ilvl w:val="1"/>
                <w:numId w:val="16"/>
              </w:numPr>
            </w:pPr>
            <w:r>
              <w:rPr/>
              <w:t xml:space="preserve">de competentie</w:t>
            </w:r>
          </w:p>
          <w:p>
            <w:pPr>
              <w:pStyle w:val="ListParagraph"/>
              <w:numPr>
                <w:ilvl w:val="1"/>
                <w:numId w:val="16"/>
              </w:numPr>
            </w:pPr>
            <w:r>
              <w:rPr/>
              <w:t xml:space="preserve">de analyse en synthese</w:t>
            </w:r>
          </w:p>
          <w:p>
            <w:pPr>
              <w:pStyle w:val="ListParagraph"/>
              <w:numPr>
                <w:ilvl w:val="1"/>
                <w:numId w:val="16"/>
              </w:numPr>
            </w:pPr>
            <w:r>
              <w:rPr/>
              <w:t xml:space="preserve">de sociale vaardigheden</w:t>
            </w:r>
          </w:p>
          <w:p>
            <w:pPr>
              <w:pStyle w:val="ListParagraph"/>
              <w:numPr>
                <w:ilvl w:val="1"/>
                <w:numId w:val="16"/>
              </w:numPr>
            </w:pPr>
            <w:r>
              <w:rPr/>
              <w:t xml:space="preserve">het zelfvertrouwen</w:t>
            </w:r>
          </w:p>
          <w:p>
            <w:pPr>
              <w:pStyle w:val="ListParagraph"/>
              <w:numPr>
                <w:ilvl w:val="1"/>
                <w:numId w:val="16"/>
              </w:numPr>
            </w:pPr>
            <w:r>
              <w:rPr/>
              <w:t xml:space="preserve">de energie en gedrevenheid</w:t>
            </w:r>
          </w:p>
          <w:p>
            <w:pPr>
              <w:pStyle w:val="ListParagraph"/>
              <w:numPr>
                <w:ilvl w:val="1"/>
                <w:numId w:val="16"/>
              </w:numPr>
            </w:pPr>
            <w:r>
              <w:rPr/>
              <w:t xml:space="preserve">het charisma</w:t>
            </w:r>
          </w:p>
          <w:p>
            <w:pPr>
              <w:pStyle w:val="ListParagraph"/>
              <w:numPr>
                <w:ilvl w:val="0"/>
                <w:numId w:val="16"/>
              </w:numPr>
            </w:pPr>
            <w:r>
              <w:rPr/>
              <w:t xml:space="preserve">het belang van goed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leiderschap beschrijven</w:t>
              <w:br/>
              <w:t xml:space="preserve">de verschillende leiderschapstypes herkennen en beschrijven </w:t>
              <w:br/>
              <w:t xml:space="preserve">de eigenschappen van een succesvolle leider benoemen, herkennen en beschrijven</w:t>
              <w:br/>
              <w:t xml:space="preserve">de invloed van het leiderschapstype op de ondernemingsprestaties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motivatie van personeel</w:t>
            </w:r>
          </w:p>
          <w:p>
            <w:pPr>
              <w:pStyle w:val="ListParagraph"/>
              <w:numPr>
                <w:ilvl w:val="0"/>
                <w:numId w:val="17"/>
              </w:numPr>
            </w:pPr>
            <w:r>
              <w:rPr/>
              <w:t xml:space="preserve">het belang van gemotiveerd personeel</w:t>
            </w:r>
          </w:p>
          <w:p>
            <w:pPr>
              <w:pStyle w:val="ListParagraph"/>
              <w:numPr>
                <w:ilvl w:val="0"/>
                <w:numId w:val="17"/>
              </w:numPr>
            </w:pPr>
            <w:r>
              <w:rPr/>
              <w:t xml:space="preserve">de middelen om het personeel te motiveren</w:t>
            </w:r>
          </w:p>
          <w:p>
            <w:pPr>
              <w:pStyle w:val="ListParagraph"/>
              <w:numPr>
                <w:ilvl w:val="1"/>
                <w:numId w:val="17"/>
              </w:numPr>
            </w:pPr>
            <w:r>
              <w:rPr/>
              <w:t xml:space="preserve">de inspraak</w:t>
            </w:r>
          </w:p>
          <w:p>
            <w:pPr>
              <w:pStyle w:val="ListParagraph"/>
              <w:numPr>
                <w:ilvl w:val="1"/>
                <w:numId w:val="17"/>
              </w:numPr>
            </w:pPr>
            <w:r>
              <w:rPr/>
              <w:t xml:space="preserve">de opleiding</w:t>
            </w:r>
          </w:p>
          <w:p>
            <w:pPr>
              <w:pStyle w:val="ListParagraph"/>
              <w:numPr>
                <w:ilvl w:val="1"/>
                <w:numId w:val="17"/>
              </w:numPr>
            </w:pPr>
            <w:r>
              <w:rPr/>
              <w:t xml:space="preserve">de werknemersparticipatie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motivatie van het personeel op de ondernemingsprestaties toelichten</w:t>
              <w:br/>
              <w:t xml:space="preserve">de middelen om het personeel te motiveren benoemen, beschrijven, illustreren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Investeringsbeslissingen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methodes om investeringen te beoordelen</w:t>
            </w:r>
          </w:p>
          <w:p>
            <w:pPr>
              <w:pStyle w:val="ListParagraph"/>
              <w:numPr>
                <w:ilvl w:val="0"/>
                <w:numId w:val="18"/>
              </w:numPr>
            </w:pPr>
            <w:r>
              <w:rPr/>
              <w:t xml:space="preserve">de methode van de terugverdientijd</w:t>
            </w:r>
          </w:p>
          <w:p>
            <w:pPr>
              <w:pStyle w:val="ListParagraph"/>
              <w:numPr>
                <w:ilvl w:val="0"/>
                <w:numId w:val="18"/>
              </w:numPr>
            </w:pPr>
            <w:r>
              <w:rPr/>
              <w:t xml:space="preserve">de methode van het gemiddelde rendement (ROI)</w:t>
            </w:r>
          </w:p>
          <w:p>
            <w:pPr>
              <w:pStyle w:val="ListParagraph"/>
              <w:numPr>
                <w:ilvl w:val="0"/>
                <w:numId w:val="18"/>
              </w:numPr>
            </w:pPr>
            <w:r>
              <w:rPr/>
              <w:t xml:space="preserve">de methode van de netto actuele waarde</w:t>
            </w:r>
          </w:p>
          <w:p>
            <w:pPr>
              <w:pStyle w:val="ListParagraph"/>
              <w:numPr>
                <w:ilvl w:val="0"/>
                <w:numId w:val="18"/>
              </w:numPr>
            </w:pPr>
            <w:r>
              <w:rPr/>
              <w:t xml:space="preserve">de methode van de interne opbrengstvoet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methodes om investeringen te beoordelen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productie- en voorraadbeleid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instrumenten om het productie- en voorraadbeleid te optimaliseren</w:t>
            </w:r>
          </w:p>
          <w:p>
            <w:pPr>
              <w:pStyle w:val="ListParagraph"/>
              <w:numPr>
                <w:ilvl w:val="0"/>
                <w:numId w:val="19"/>
              </w:numPr>
            </w:pPr>
            <w:r>
              <w:rPr/>
              <w:t xml:space="preserve">de voorraadcontrole</w:t>
            </w:r>
          </w:p>
          <w:p>
            <w:pPr>
              <w:pStyle w:val="ListParagraph"/>
              <w:numPr>
                <w:ilvl w:val="0"/>
                <w:numId w:val="19"/>
              </w:numPr>
            </w:pPr>
            <w:r>
              <w:rPr/>
              <w:t xml:space="preserve">de just in time-methode</w:t>
            </w:r>
          </w:p>
          <w:p>
            <w:pPr>
              <w:pStyle w:val="ListParagraph"/>
              <w:numPr>
                <w:ilvl w:val="0"/>
                <w:numId w:val="19"/>
              </w:numPr>
            </w:pPr>
            <w:r>
              <w:rPr/>
              <w:t xml:space="preserve">het teamwork,</w:t>
            </w:r>
          </w:p>
          <w:p>
            <w:pPr>
              <w:pStyle w:val="ListParagraph"/>
              <w:numPr>
                <w:ilvl w:val="0"/>
                <w:numId w:val="19"/>
              </w:numPr>
            </w:pPr>
            <w:r>
              <w:rPr/>
              <w:t xml:space="preserve">de kwaliteitscontrole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instrumenten die een onderneming kan aanwenden om de kosten te optimaliseren,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marketingmix</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20"/>
              </w:numPr>
            </w:pPr>
            <w:r>
              <w:rPr/>
              <w:t xml:space="preserve">de kwaliteit</w:t>
            </w:r>
          </w:p>
          <w:p>
            <w:pPr>
              <w:pStyle w:val="ListParagraph"/>
              <w:numPr>
                <w:ilvl w:val="0"/>
                <w:numId w:val="20"/>
              </w:numPr>
            </w:pPr>
            <w:r>
              <w:rPr/>
              <w:t xml:space="preserve">het assortiment</w:t>
            </w:r>
          </w:p>
          <w:p>
            <w:r>
              <w:rPr/>
              <w:t xml:space="preserve">de prijs</w:t>
              <w:br/>
              <w:t xml:space="preserve"/>
              <w:br/>
              <w:t xml:space="preserve"/>
            </w:r>
          </w:p>
          <w:p>
            <w:pPr>
              <w:pStyle w:val="ListParagraph"/>
              <w:numPr>
                <w:ilvl w:val="0"/>
                <w:numId w:val="21"/>
              </w:numPr>
            </w:pPr>
            <w:r>
              <w:rPr/>
              <w:t xml:space="preserve">de prijs</w:t>
            </w:r>
          </w:p>
          <w:p>
            <w:pPr>
              <w:pStyle w:val="ListParagraph"/>
              <w:numPr>
                <w:ilvl w:val="0"/>
                <w:numId w:val="21"/>
              </w:numPr>
            </w:pPr>
            <w:r>
              <w:rPr/>
              <w:t xml:space="preserve">de bepaling van de prijs</w:t>
            </w:r>
          </w:p>
          <w:p>
            <w:pPr>
              <w:pStyle w:val="ListParagraph"/>
              <w:numPr>
                <w:ilvl w:val="0"/>
                <w:numId w:val="21"/>
              </w:numPr>
            </w:pPr>
            <w:r>
              <w:rPr/>
              <w:t xml:space="preserve">de prijsbepaling op basis van de kosten</w:t>
            </w:r>
          </w:p>
          <w:p>
            <w:pPr>
              <w:pStyle w:val="ListParagraph"/>
              <w:numPr>
                <w:ilvl w:val="0"/>
                <w:numId w:val="21"/>
              </w:numPr>
            </w:pPr>
            <w:r>
              <w:rPr/>
              <w:t xml:space="preserve">de prijsbepaling op basis van de vraag</w:t>
            </w:r>
          </w:p>
          <w:p>
            <w:pPr>
              <w:pStyle w:val="ListParagraph"/>
              <w:numPr>
                <w:ilvl w:val="0"/>
                <w:numId w:val="21"/>
              </w:numPr>
            </w:pPr>
            <w:r>
              <w:rPr/>
              <w:t xml:space="preserve">de prijsbepaling op basis van de concurrentie</w:t>
            </w:r>
          </w:p>
          <w:p>
            <w:r>
              <w:rPr/>
              <w:t xml:space="preserve">de plaats</w:t>
              <w:br/>
              <w:t xml:space="preserve"/>
              <w:br/>
              <w:t xml:space="preserve"/>
            </w:r>
          </w:p>
          <w:p>
            <w:pPr>
              <w:pStyle w:val="ListParagraph"/>
              <w:numPr>
                <w:ilvl w:val="0"/>
                <w:numId w:val="22"/>
              </w:numPr>
            </w:pPr>
            <w:r>
              <w:rPr/>
              <w:t xml:space="preserve">de vestigingsplaats</w:t>
            </w:r>
          </w:p>
          <w:p>
            <w:pPr>
              <w:pStyle w:val="ListParagraph"/>
              <w:numPr>
                <w:ilvl w:val="0"/>
                <w:numId w:val="22"/>
              </w:numPr>
            </w:pPr>
            <w:r>
              <w:rPr/>
              <w:t xml:space="preserve">de distributiekanalen</w:t>
            </w:r>
          </w:p>
          <w:p>
            <w:r>
              <w:rPr/>
              <w:t xml:space="preserve">de promotie</w:t>
            </w:r>
          </w:p>
          <w:p>
            <w:pPr>
              <w:pStyle w:val="ListParagraph"/>
              <w:numPr>
                <w:ilvl w:val="0"/>
                <w:numId w:val="23"/>
              </w:numPr>
            </w:pPr>
            <w:r>
              <w:rPr/>
              <w:t xml:space="preserve">de reclame</w:t>
            </w:r>
          </w:p>
          <w:p>
            <w:pPr>
              <w:pStyle w:val="ListParagraph"/>
              <w:numPr>
                <w:ilvl w:val="0"/>
                <w:numId w:val="23"/>
              </w:numPr>
            </w:pPr>
            <w:r>
              <w:rPr/>
              <w:t xml:space="preserve">de verkoopbevordering</w:t>
            </w:r>
          </w:p>
          <w:p>
            <w:pPr>
              <w:pStyle w:val="ListParagraph"/>
              <w:numPr>
                <w:ilvl w:val="0"/>
                <w:numId w:val="23"/>
              </w:numPr>
            </w:pPr>
            <w:r>
              <w:rPr/>
              <w:t xml:space="preserve">de persoonlijke verkoop</w:t>
            </w:r>
          </w:p>
          <w:p>
            <w:pPr>
              <w:pStyle w:val="ListParagraph"/>
              <w:numPr>
                <w:ilvl w:val="0"/>
                <w:numId w:val="23"/>
              </w:numPr>
            </w:pPr>
            <w:r>
              <w:rPr/>
              <w:t xml:space="preserve">de publiciteit</w:t>
            </w:r>
          </w:p>
          <w:p>
            <w:pPr>
              <w:pStyle w:val="ListParagraph"/>
              <w:numPr>
                <w:ilvl w:val="0"/>
                <w:numId w:val="23"/>
              </w:numPr>
            </w:pPr>
            <w:r>
              <w:rPr/>
              <w:t xml:space="preserve">direct marketing</w:t>
            </w:r>
          </w:p>
          <w:p>
            <w:pPr>
              <w:pStyle w:val="ListParagraph"/>
              <w:numPr>
                <w:ilvl w:val="0"/>
                <w:numId w:val="23"/>
              </w:numPr>
            </w:pPr>
            <w:r>
              <w:rPr/>
              <w:t xml:space="preserve">sponsoring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 de hand van de marketingmix beschrijven hoe een onderneming zich competitief tracht op te stellen op de markt</w:t>
              <w:br/>
              <w:t xml:space="preserve">de marketingmix toepassen voor een gegeven voorbeeld</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betekenis, structuur en mechanismen van rekeningen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pPr>
              <w:pStyle w:val="ListParagraph"/>
              <w:numPr>
                <w:ilvl w:val="0"/>
                <w:numId w:val="24"/>
              </w:numPr>
            </w:pPr>
            <w:r>
              <w:rPr/>
              <w:t xml:space="preserve">de balans</w:t>
            </w:r>
          </w:p>
          <w:p>
            <w:pPr>
              <w:pStyle w:val="ListParagraph"/>
              <w:numPr>
                <w:ilvl w:val="0"/>
                <w:numId w:val="24"/>
              </w:numPr>
            </w:pPr>
            <w:r>
              <w:rPr/>
              <w:t xml:space="preserve">de resultatenrekening</w:t>
            </w:r>
          </w:p>
          <w:p>
            <w:pPr>
              <w:pStyle w:val="ListParagraph"/>
              <w:numPr>
                <w:ilvl w:val="0"/>
                <w:numId w:val="24"/>
              </w:numPr>
            </w:pPr>
            <w:r>
              <w:rPr/>
              <w:t xml:space="preserve">de toelichting</w:t>
            </w:r>
          </w:p>
          <w:p>
            <w:pPr>
              <w:pStyle w:val="ListParagraph"/>
              <w:numPr>
                <w:ilvl w:val="0"/>
                <w:numId w:val="24"/>
              </w:numPr>
            </w:pPr>
            <w:r>
              <w:rPr/>
              <w:t xml:space="preserve">de sociale 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van de jaarrekening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w:t>
              <w:br/>
              <w:t xml:space="preserve"/>
              <w:br/>
              <w:t xml:space="preserve"/>
            </w:r>
          </w:p>
          <w:p>
            <w:pPr>
              <w:pStyle w:val="ListParagraph"/>
              <w:numPr>
                <w:ilvl w:val="0"/>
                <w:numId w:val="25"/>
              </w:numPr>
            </w:pPr>
            <w:r>
              <w:rPr/>
              <w:t xml:space="preserve">actief, passief, werkmiddelen, financieringsmiddelen, aanwending vermogen, oorsprong vermogen, balansevenwicht</w:t>
            </w:r>
          </w:p>
          <w:p>
            <w:r>
              <w:rPr/>
              <w:t xml:space="preserve"> </w:t>
              <w:br/>
              <w:t xml:space="preserve"/>
              <w:br/>
              <w:t xml:space="preserve"> </w:t>
              <w:br/>
              <w:t xml:space="preserve"/>
              <w:br/>
              <w:t xml:space="preserve"> </w:t>
              <w:br/>
              <w:t xml:space="preserve"/>
              <w:br/>
              <w:t xml:space="preserve">de onderdelen van een balans</w:t>
              <w:br/>
              <w:t xml:space="preserve"/>
              <w:br/>
              <w:t xml:space="preserve"/>
            </w:r>
          </w:p>
          <w:p>
            <w:pPr>
              <w:pStyle w:val="ListParagraph"/>
              <w:numPr>
                <w:ilvl w:val="0"/>
                <w:numId w:val="26"/>
              </w:numPr>
            </w:pPr>
            <w:r>
              <w:rPr/>
              <w:t xml:space="preserve">de vaste activa</w:t>
            </w:r>
          </w:p>
          <w:p>
            <w:pPr>
              <w:pStyle w:val="ListParagraph"/>
              <w:numPr>
                <w:ilvl w:val="0"/>
                <w:numId w:val="26"/>
              </w:numPr>
            </w:pPr>
            <w:r>
              <w:rPr/>
              <w:t xml:space="preserve">de vlottende activa</w:t>
            </w:r>
          </w:p>
          <w:p>
            <w:pPr>
              <w:pStyle w:val="ListParagraph"/>
              <w:numPr>
                <w:ilvl w:val="0"/>
                <w:numId w:val="26"/>
              </w:numPr>
            </w:pPr>
            <w:r>
              <w:rPr/>
              <w:t xml:space="preserve">het eigen vermogen</w:t>
            </w:r>
          </w:p>
          <w:p>
            <w:pPr>
              <w:pStyle w:val="ListParagraph"/>
              <w:numPr>
                <w:ilvl w:val="0"/>
                <w:numId w:val="26"/>
              </w:numPr>
            </w:pPr>
            <w:r>
              <w:rPr/>
              <w:t xml:space="preserve">het vreemd vermogen</w:t>
            </w:r>
          </w:p>
          <w:p>
            <w:r>
              <w:rPr/>
              <w:t xml:space="preserve">de rangschikking op de actief- en de passiefzijde</w:t>
              <w:br/>
              <w:t xml:space="preserve"/>
              <w:br/>
              <w:t xml:space="preserve">het opstellen van een balans</w:t>
              <w:br/>
              <w:t xml:space="preserve"/>
              <w:br/>
              <w:t xml:space="preserve">de wijzigingen in actief en passief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balans, actief, passief, werkmiddelen, financieringsmiddelen, aanwending vermogen, oorsprong vermogen, balansevenwicht benoemen en beschrijven</w:t>
              <w:br/>
              <w:t xml:space="preserve">het begrip balans definiëren met de begrippen aanwending en oorsprong van de middelen/ actief en passief</w:t>
              <w:br/>
              <w:t xml:space="preserve">de begrippen actief en passief gebruiken in concrete situaties</w:t>
              <w:br/>
              <w:t xml:space="preserve">het balansevenwicht definiëren</w:t>
              <w:br/>
              <w:t xml:space="preserve">de onderdelen van een balans benoemen, beschrijven en illustreren</w:t>
              <w:br/>
              <w:t xml:space="preserve">de rangschikking op de actief- en de passiefzijde beschrijven</w:t>
              <w:br/>
              <w:t xml:space="preserve">de wijzigingen in actief en passief beschrijven</w:t>
              <w:br/>
              <w:t xml:space="preserve">een balans opstellen aan de hand van gegeven cijfermateriaal</w:t>
              <w:br/>
              <w:t xml:space="preserve">(eenvoudige) wijzigingen in actief en passief op de balans registreren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balansrekeningen</w:t>
            </w:r>
          </w:p>
          <w:p>
            <w:pPr>
              <w:pStyle w:val="ListParagraph"/>
              <w:numPr>
                <w:ilvl w:val="0"/>
                <w:numId w:val="27"/>
              </w:numPr>
            </w:pPr>
            <w:r>
              <w:rPr/>
              <w:t xml:space="preserve">de balansrekeningen</w:t>
            </w:r>
          </w:p>
          <w:p>
            <w:pPr>
              <w:pStyle w:val="ListParagraph"/>
              <w:numPr>
                <w:ilvl w:val="0"/>
                <w:numId w:val="27"/>
              </w:numPr>
            </w:pPr>
            <w:r>
              <w:rPr/>
              <w:t xml:space="preserve">de soorten balansrekeningen: de actief- en de passiefrekeningen</w:t>
            </w:r>
          </w:p>
          <w:p>
            <w:pPr>
              <w:pStyle w:val="ListParagraph"/>
              <w:numPr>
                <w:ilvl w:val="0"/>
                <w:numId w:val="27"/>
              </w:numPr>
            </w:pPr>
            <w:r>
              <w:rPr/>
              <w:t xml:space="preserve">van balans naar actief- en passiefrekeningen</w:t>
            </w:r>
          </w:p>
          <w:p>
            <w:pPr>
              <w:pStyle w:val="ListParagraph"/>
              <w:numPr>
                <w:ilvl w:val="0"/>
                <w:numId w:val="27"/>
              </w:numPr>
            </w:pPr>
            <w:r>
              <w:rPr/>
              <w:t xml:space="preserve">de boekingsregels voor de balansrekeningen</w:t>
            </w:r>
          </w:p>
          <w:p>
            <w:pPr>
              <w:pStyle w:val="ListParagraph"/>
              <w:numPr>
                <w:ilvl w:val="0"/>
                <w:numId w:val="27"/>
              </w:numPr>
            </w:pPr>
            <w:r>
              <w:rPr/>
              <w:t xml:space="preserve">van de actief- en de passiefrekeningen naar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balansrekeningen definiëren</w:t>
              <w:br/>
              <w:t xml:space="preserve">de soorten balansrekeningen benoemen en beschrijven</w:t>
              <w:br/>
              <w:t xml:space="preserve">een balans uitsplitsen in actief- en passiefrekeningen</w:t>
              <w:br/>
              <w:t xml:space="preserve">de boekingsregels voor de balansrekeningen beschrijven en toepassen bij eenvoudige verrichtingen</w:t>
              <w:br/>
              <w:t xml:space="preserve">de eindbalans opstellen aan de hand van de actief- en de passiefrekeningen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w:t>
            </w:r>
          </w:p>
          <w:p>
            <w:pPr>
              <w:pStyle w:val="ListParagraph"/>
              <w:numPr>
                <w:ilvl w:val="0"/>
                <w:numId w:val="28"/>
              </w:numPr>
            </w:pPr>
            <w:r>
              <w:rPr/>
              <w:t xml:space="preserve">resultatenrekening, bedrijfsresultaat, financieel resultaat, resultaat van het boekjaar</w:t>
            </w:r>
          </w:p>
          <w:p>
            <w:pPr>
              <w:pStyle w:val="ListParagraph"/>
              <w:numPr>
                <w:ilvl w:val="0"/>
                <w:numId w:val="28"/>
              </w:numPr>
            </w:pPr>
            <w:r>
              <w:rPr/>
              <w:t xml:space="preserve">het uitzonderlijk resultaat wordt ondergebracht bij het bedrijfsresultaat of het financiële resultaat als niet-recurrent resultaat.</w:t>
            </w:r>
          </w:p>
          <w:p>
            <w:pPr>
              <w:pStyle w:val="ListParagraph"/>
              <w:numPr>
                <w:ilvl w:val="0"/>
                <w:numId w:val="28"/>
              </w:numPr>
            </w:pPr>
            <w:r>
              <w:rPr/>
              <w:t xml:space="preserve">het opstellen van een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resultatenrekening, bedrijfsresultaat, financieel resultaat, resultaat van het boekjaar benoemen en beschrijven</w:t>
              <w:br/>
              <w:t xml:space="preserve">het bedrijfsresultaat, het financieel resultaat, het resultaat van het boekjaar berekenen</w:t>
              <w:br/>
              <w:t xml:space="preserve">een resultatenrekening opstellen aan de hand van gegeven cijfermateriaal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pPr>
              <w:pStyle w:val="ListParagraph"/>
              <w:numPr>
                <w:ilvl w:val="0"/>
                <w:numId w:val="29"/>
              </w:numPr>
            </w:pPr>
            <w:r>
              <w:rPr/>
              <w:t xml:space="preserve">de resultatenrekeningen</w:t>
            </w:r>
          </w:p>
          <w:p>
            <w:pPr>
              <w:pStyle w:val="ListParagraph"/>
              <w:numPr>
                <w:ilvl w:val="0"/>
                <w:numId w:val="29"/>
              </w:numPr>
            </w:pPr>
            <w:r>
              <w:rPr/>
              <w:t xml:space="preserve">de soorten resultatenrekeningen: de kosten- en opbrengstenrekeningen</w:t>
            </w:r>
          </w:p>
          <w:p>
            <w:pPr>
              <w:pStyle w:val="ListParagraph"/>
              <w:numPr>
                <w:ilvl w:val="0"/>
                <w:numId w:val="29"/>
              </w:numPr>
            </w:pPr>
            <w:r>
              <w:rPr/>
              <w:t xml:space="preserve">van resultatenrekening naar kosten- en opbrengstenrekeningen</w:t>
            </w:r>
          </w:p>
          <w:p>
            <w:pPr>
              <w:pStyle w:val="ListParagraph"/>
              <w:numPr>
                <w:ilvl w:val="0"/>
                <w:numId w:val="29"/>
              </w:numPr>
            </w:pPr>
            <w:r>
              <w:rPr/>
              <w:t xml:space="preserve">de boekingsregels voor de resultatenrekeningen</w:t>
            </w:r>
          </w:p>
          <w:p>
            <w:pPr>
              <w:pStyle w:val="ListParagraph"/>
              <w:numPr>
                <w:ilvl w:val="0"/>
                <w:numId w:val="29"/>
              </w:numPr>
            </w:pPr>
            <w:r>
              <w:rPr/>
              <w:t xml:space="preserve">van de kosten- en opbrengstenrekeningen naar de resultatenrekening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resultatenrekeningen beschrijven</w:t>
              <w:br/>
              <w:t xml:space="preserve">de soorten resultatenrekeningen benoemen en beschrijven</w:t>
              <w:br/>
              <w:t xml:space="preserve">de resultatenrekening opsplitsen in kosten- en opbrengstenrekeningen</w:t>
              <w:br/>
              <w:t xml:space="preserve">de boekingsregels beschrijven en toepassen bij eenvoudige verrichtingen</w:t>
              <w:br/>
              <w:t xml:space="preserve">de resultatenrekening op het einde van het boekjaar opstellen aan de hand van de kosten- en opbrengstenrekeningen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interpretatie van jaarrekeningen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interpretatie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jaarrekening  van een onderneming interpreteren</w:t>
              <w:br/>
              <w:t xml:space="preserve"> op basis van de jaarrekening  van een onderneming de ondernemingsprestaties afwegen tegenover de vooropgezette doelstellingen en de prestaties van de sector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analyse van de jaarrekening</w:t>
            </w:r>
          </w:p>
          <w:p>
            <w:pPr>
              <w:pStyle w:val="ListParagraph"/>
              <w:numPr>
                <w:ilvl w:val="0"/>
                <w:numId w:val="30"/>
              </w:numPr>
            </w:pPr>
            <w:r>
              <w:rPr/>
              <w:t xml:space="preserve">de horizontale en verticale analyse van de jaarrekening</w:t>
            </w:r>
          </w:p>
          <w:p>
            <w:pPr>
              <w:pStyle w:val="ListParagraph"/>
              <w:numPr>
                <w:ilvl w:val="0"/>
                <w:numId w:val="30"/>
              </w:numPr>
            </w:pPr>
            <w:r>
              <w:rPr/>
              <w:t xml:space="preserve">kapitaalintensieve en arbeidsintensieve onderneming</w:t>
            </w:r>
          </w:p>
          <w:p>
            <w:pPr>
              <w:pStyle w:val="ListParagraph"/>
              <w:numPr>
                <w:ilvl w:val="0"/>
                <w:numId w:val="30"/>
              </w:numPr>
            </w:pPr>
            <w:r>
              <w:rPr/>
              <w:t xml:space="preserve">de kengetallen</w:t>
            </w:r>
          </w:p>
          <w:p>
            <w:pPr>
              <w:pStyle w:val="ListParagraph"/>
              <w:numPr>
                <w:ilvl w:val="1"/>
                <w:numId w:val="30"/>
              </w:numPr>
            </w:pPr>
            <w:r>
              <w:rPr/>
              <w:t xml:space="preserve">het liquiditeitsratio (in enge en in ruime zin)</w:t>
            </w:r>
          </w:p>
          <w:p>
            <w:pPr>
              <w:pStyle w:val="ListParagraph"/>
              <w:numPr>
                <w:ilvl w:val="1"/>
                <w:numId w:val="30"/>
              </w:numPr>
            </w:pPr>
            <w:r>
              <w:rPr/>
              <w:t xml:space="preserve">het rendabiliteitsratio van het eigen vermogen vóór belastingen</w:t>
            </w:r>
          </w:p>
          <w:p>
            <w:pPr>
              <w:pStyle w:val="ListParagraph"/>
              <w:numPr>
                <w:ilvl w:val="1"/>
                <w:numId w:val="30"/>
              </w:numPr>
            </w:pPr>
            <w:r>
              <w:rPr/>
              <w:t xml:space="preserve">het rendabiliteitsratio van het eigen vermogen na belastingen</w:t>
            </w:r>
          </w:p>
          <w:p>
            <w:pPr>
              <w:pStyle w:val="ListParagraph"/>
              <w:numPr>
                <w:ilvl w:val="1"/>
                <w:numId w:val="30"/>
              </w:numPr>
            </w:pPr>
            <w:r>
              <w:rPr/>
              <w:t xml:space="preserve">het rendabiliteitsratio van het totaal vermogen vóór belastingen</w:t>
            </w:r>
          </w:p>
          <w:p>
            <w:pPr>
              <w:pStyle w:val="ListParagraph"/>
              <w:numPr>
                <w:ilvl w:val="1"/>
                <w:numId w:val="30"/>
              </w:numPr>
            </w:pPr>
            <w:r>
              <w:rPr/>
              <w:t xml:space="preserve">het solvabiliteitsratio</w:t>
            </w:r>
          </w:p>
          <w:p>
            <w:pPr>
              <w:pStyle w:val="ListParagraph"/>
              <w:numPr>
                <w:ilvl w:val="1"/>
                <w:numId w:val="30"/>
              </w:numPr>
            </w:pPr>
            <w:r>
              <w:rPr/>
              <w:t xml:space="preserve">de financiële hefboom (hefboomeffect)</w:t>
            </w:r>
          </w:p>
          <w:p>
            <w:pPr>
              <w:pStyle w:val="ListParagraph"/>
              <w:numPr>
                <w:ilvl w:val="1"/>
                <w:numId w:val="30"/>
              </w:numPr>
            </w:pPr>
            <w:r>
              <w:rPr/>
              <w:t xml:space="preserve">de omloopsnelheid en de omlooptijd ( van de voorraden, van de vorderingen, van de leveranciers, netto te financieren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jaarrekening een horizontale analyse en een verticale analyse over twee opeenvolgende boekjaren uitvoeren</w:t>
              <w:br/>
              <w:t xml:space="preserve"> aan de hand van de balans en resultatenrekening van een onderneming het liquiditeitsratio (in enge en in ruime zin), het rendabiliteitsratio en het solvabiliteitsratio van de onderneming berekenen (1) en interpreteren</w:t>
              <w:br/>
              <w:t xml:space="preserve"> financiële hefboom (hefboomeffect) berekenen en interpreteren</w:t>
              <w:br/>
              <w:t xml:space="preserve"> omloopsnelheid en omlooptijd ( van de voorraden, van de vorderingen, van de leveranciers, netto te financieren periode) berekenen en interpreteren1</w:t>
              <w:br/>
              <w:t xml:space="preserve"> op basis van de analyse van de jaarrekening de ondernemingsprestaties afwegen tegenover de vooropgezette doelstellingen en de prestaties van de sector</w:t>
              <w:br/>
              <w:t xml:space="preserve"/>
              <w:br/>
              <w:t xml:space="preserve">(1)  met behulp van het formularium (zie de bijlage)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Onderzoekscompetentie zie het vak "Algemene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Onderzoekscompetentie zie het vak "Algemene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3aso is een digitaal examen. </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worden verschillende vraagtypes gebruikt.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 1: formularium (zoals in de vakfiche)</w:t>
      </w:r>
    </w:p>
    <w:p>
      <w:pPr>
        <w:jc w:val="both"/>
      </w:pPr>
      <w:r>
        <w:t xml:space="preserve">Bijlage 2: jaarrekening</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leesbaar is (anders kunnen er geen punten toegekend worden);</w:t>
      </w:r>
    </w:p>
    <w:p>
      <w:pPr>
        <w:jc w:val="both"/>
      </w:pPr>
      <w:r>
        <w:t xml:space="preserve">4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
      </w:r>
    </w:p>
    <w:p>
      <w:pPr>
        <w:jc w:val="both"/>
      </w:pPr>
      <w:r>
        <w:t xml:space="preserve">Wij houden echter geen rekening met andere taalfouten.</w:t>
      </w:r>
    </w:p>
    <w:p>
      <w:pPr>
        <w:jc w:val="both"/>
      </w:pPr>
      <w:r>
        <w:t xml:space="preserve"/>
      </w:r>
    </w:p>
    <w:p>
      <w:pPr>
        <w:jc w:val="both"/>
      </w:pPr>
      <w:r>
        <w:t xml:space="preserve">Opmerking:</w:t>
      </w:r>
    </w:p>
    <w:p>
      <w:pPr>
        <w:jc w:val="both"/>
      </w:pPr>
      <w:r>
        <w:t xml:space="preserve">Bedragen in euro en andere getallen moeten met twee cijfers na de komma genoteerd worden.</w:t>
      </w:r>
    </w:p>
    <w:p>
      <w:pPr>
        <w:jc w:val="both"/>
      </w:pPr>
      <w:r>
        <w:t xml:space="preserve">Afronden gebeurt als volgt:</w:t>
      </w:r>
    </w:p>
    <w:p>
      <w:pPr>
        <w:jc w:val="both"/>
      </w:pPr>
      <w:r>
        <w:t xml:space="preserve">kleiner dan 5 -&gt; afronden naar beneden</w:t>
      </w:r>
    </w:p>
    <w:p>
      <w:pPr>
        <w:jc w:val="both"/>
      </w:pPr>
      <w:r>
        <w:t xml:space="preserve">groter of gelijk aan 5 -&gt; afronden naar boven</w:t>
      </w:r>
    </w:p>
    <w:p>
      <w:pPr>
        <w:jc w:val="both"/>
      </w:pPr>
      <w:r>
        <w:t xml:space="preserve">Voorbeeld:</w:t>
      </w:r>
    </w:p>
    <w:p>
      <w:pPr>
        <w:jc w:val="both"/>
      </w:pPr>
      <w:r>
        <w:t xml:space="preserve">75,644 -&gt; 75,64</w:t>
      </w:r>
    </w:p>
    <w:p>
      <w:pPr>
        <w:jc w:val="both"/>
      </w:pPr>
      <w:r>
        <w:t xml:space="preserve">75,645 -&gt; 75,65</w:t>
      </w:r>
    </w:p>
    <w:p>
      <w:pPr>
        <w:jc w:val="both"/>
      </w:pPr>
      <w:r>
        <w:t xml:space="preserve">75,646 -&gt; 75,65</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ondernemingen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aso - 60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aso - 40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BUZZ 5/6</w:t>
              <w:br/>
              <w:t xml:space="preserve">Bedrijfswetenschappen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5/6 Bedrijfseconomie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