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0"/>
        </w:numPr>
      </w:pPr>
      <w:r>
        <w:rPr/>
        <w:t xml:space="preserve">een boekhoudalgoritme,</w:t>
      </w:r>
    </w:p>
    <w:p>
      <w:pPr>
        <w:pStyle w:val="ListParagraph"/>
        <w:numPr>
          <w:ilvl w:val="0"/>
          <w:numId w:val="10"/>
        </w:numPr>
      </w:pPr>
      <w:r>
        <w:rPr/>
        <w:t xml:space="preserve">het grootboek of</w:t>
      </w:r>
    </w:p>
    <w:p>
      <w:pPr>
        <w:pStyle w:val="ListParagraph"/>
        <w:numPr>
          <w:ilvl w:val="0"/>
          <w:numId w:val="10"/>
        </w:numPr>
      </w:pPr>
      <w:r>
        <w:rPr/>
        <w:t xml:space="preserve">het journaal</w:t>
      </w:r>
    </w:p>
    <w:p>
      <w:r>
        <w:rPr/>
        <w:t xml:space="preserve"> </w:t>
      </w:r>
    </w:p>
    <w:p>
      <w:r>
        <w:rPr/>
        <w:t xml:space="preserve">2.      Voor de btw gebruiken we de volgende rekeningen:</w:t>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De meeste kandidaten in de derde graad Handel zullen instromen vanuit de studierichting Handel of Handel-Talen.</w:t>
        <w:br/>
        <w:t xml:space="preserve">Voor deze kandidaten sluit deze vakfiche naadloos aan bij de leerinhouden van de tweede graad.</w:t>
      </w:r>
    </w:p>
    <w:p>
      <w:r>
        <w:rPr/>
        <w:t xml:space="preserve">De kandidaten die instromen vanuit een aso-richting met Economie hebben een meer theoretische bagage. Mits een grondige opfrissing van de basisprincipes van boekhouden, kunnen zij gemakkelijk de leerinhouden van de derde graad tso verwerken.</w:t>
      </w:r>
    </w:p>
    <w:p>
      <w:r>
        <w:rP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28 %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br/>
              <w:t xml:space="preserve"/>
              <w:br/>
              <w:t xml:space="preserve">978-90-455-6106-6)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deel 1 en 2 (Fastré, Wintmolders)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6.2 Theorieboek (deel 10)</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6.1 Handel - BOB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