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chemie en fysica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het diploma van Farmaceutisch Technisch Assistent te behalen, moet je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 Meer informatie vind je in de infofiche stage (FTA).</w:t>
      </w:r>
    </w:p>
    <w:p>
      <w:r>
        <w:rPr/>
        <w:t xml:space="preserve">Het vak 'Toegepaste chemie en fysica' kan je afleggen bij de EC. Aangezien de EC geen praktische opleiding labo's chemie organiseert, moet je bij een CVO de module toegepaste analytische chemie volgen. In deze module volg je, naast de theoretische lessen, een praktische labo-opleiding.</w:t>
      </w:r>
    </w:p>
    <w:p>
      <w:r>
        <w:rPr/>
        <w:t xml:space="preserve">Als farmaceutisch technisch assistent moet je voldoende inzicht hebben in de werking van geneesmiddelen. Daarom is het belangrijk dat je weet hoe stoffen zijn opgebouwd en welke elementaire reacties hiermee gepaard gaan. Daarnaast moet je een aantal begrippen en processen uit de fysica kunnen beschrijven die toegepast worden in de farmaceutische praktijk.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Toegepaste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Toegepaste 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Farmaceutische toepassingen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Toegepaste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MATERIE: ZUIVERE STOFFEN EN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zuivere stof definiëren</w:t>
              <w:br/>
              <w:t xml:space="preserve"/>
              <w:br/>
              <w:t xml:space="preserve">het verschil bepalen tussen een enkelvoudige en een samengestelde 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homogene mengsels: oplossingen en oplosbaarheid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oplosbaarheid definiëren en de belangrijkste factoren benoemen die de oplosbaarheid beïnvloeden</w:t>
              <w:br/>
              <w:t xml:space="preserve"/>
              <w:br/>
              <w:t xml:space="preserve">vanuit een gegeven voorbeeld bepalen wat oplosmiddel en opgeloste stof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heterogene mengsels</w:t>
              <w:br/>
              <w:t xml:space="preserve"/>
              <w:br/>
              <w:t xml:space="preserve">disperse systemen zoals aerosol, schuim</w:t>
              <w:br/>
              <w:t xml:space="preserve"/>
              <w:br/>
              <w:t xml:space="preserve">emulsie, suspensie, legering, hydrofiel/polair en lipofiel/apolair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systemen definiëren</w:t>
              <w:br/>
              <w:t xml:space="preserve"/>
              <w:br/>
              <w:t xml:space="preserve">deze termen verwoorden en gevolgen van deze eigenschappen beschrijven</w:t>
              <w:br/>
              <w:t xml:space="preserve"/>
              <w:br/>
              <w:t xml:space="preserve">afhankelijk van aggregatietoestand van het deeltje en het medium voorbeelden van disperse systemen geven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GEDRAG VAN ZUUR – BASE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definitie volgens Bröndsted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geven van een zuur en een base volgens Brönsted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definiëren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bepalen van zuur-base indicatoren, pH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methoden voor pH-bepalingen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sterkte van zuren en basen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sterke en zwakke zuren</w:t>
              <w:br/>
              <w:t xml:space="preserve"/>
              <w:br/>
              <w:t xml:space="preserve">voorbeelden geven van sterke en zwakke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buffer in verband brengen met de pH-waarde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aflopende zuur-base reactievergelijkingen opstellen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KOOLSTOFCHEMIE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Alkanen</w:t>
              <w:br/>
              <w:t xml:space="preserve"/>
              <w:br/>
              <w:t xml:space="preserve">Alkenen</w:t>
              <w:br/>
              <w:t xml:space="preserve"/>
              <w:br/>
              <w:t xml:space="preserve">Alkynen</w:t>
              <w:br/>
              <w:t xml:space="preserve"/>
              <w:br/>
              <w:t xml:space="preserve">lcoholen en fenolen (mono-alcoholen, polyolen, fenolen)</w:t>
              <w:br/>
              <w:t xml:space="preserve"/>
              <w:br/>
              <w:t xml:space="preserve">Alkaanzuren</w:t>
              <w:br/>
              <w:t xml:space="preserve"/>
              <w:br/>
              <w:t xml:space="preserve">Aldehyden, ketonen, esters, aminen, amiden en ethers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formule en naamvorming van deze begrippen herkennen</w:t>
              <w:br/>
              <w:t xml:space="preserve"/>
              <w:br/>
              <w:t xml:space="preserve">de algemene formule en naamvorming van vertakte ketens van deze begrippen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BIOCHEMIE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 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eiwitten (primaire, secundaire, tertiaire, kwaternaire) beschrijven</w:t>
              <w:br/>
              <w:t xml:space="preserve"/>
              <w:br/>
              <w:t xml:space="preserve">de structuur van een aminozuur tekenen</w:t>
              <w:br/>
              <w:t xml:space="preserve"/>
              <w:br/>
              <w:t xml:space="preserve">het amfoteer karakter van aminozuren met hun bufferende werking verklaren (zwitterion)</w:t>
              <w:br/>
              <w:t xml:space="preserve"/>
              <w:br/>
              <w:t xml:space="preserve">de chemische reactie voor de vorming van een peptidebinding verklaren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br/>
              <w:t xml:space="preserve"/>
              <w:br/>
              <w:t xml:space="preserve">voorbeelden van enzymen: amylase en peptidase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enzym definiëren</w:t>
              <w:br/>
              <w:t xml:space="preserve"/>
              <w:br/>
              <w:t xml:space="preserve">de algemene naamvorming en werking (sleutel-slot) verklaren</w:t>
              <w:br/>
              <w:t xml:space="preserve"/>
              <w:br/>
              <w:t xml:space="preserve">de voorbeelden amylase en peptidase als enzym verklaren</w:t>
              <w:br/>
              <w:t xml:space="preserve"/>
              <w:br/>
              <w:t xml:space="preserve">het begrip denaturatie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sachariden (koolhydraten):</w:t>
            </w:r>
          </w:p>
          <w:p>
            <w:pPr>
              <w:pStyle w:val="ListParagraph"/>
              <w:numPr>
                <w:ilvl w:val="0"/>
                <w:numId w:val="8"/>
              </w:numPr>
            </w:pPr>
            <w:r>
              <w:rPr/>
              <w:t xml:space="preserve">de indeling van sachariden in mono-, di-, oligo- en polysachariden</w:t>
            </w:r>
          </w:p>
          <w:p>
            <w:pPr>
              <w:pStyle w:val="ListParagraph"/>
              <w:numPr>
                <w:ilvl w:val="0"/>
                <w:numId w:val="8"/>
              </w:numPr>
            </w:pPr>
            <w:r>
              <w:rPr/>
              <w:t xml:space="preserve">ringvormige en alifatische structuurformules van glucose, fructose, maltose, sacharose en zetmeel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sachariden opsommen, definiëren en telkens illustreren</w:t>
              <w:br/>
              <w:t xml:space="preserve"/>
              <w:br/>
              <w:t xml:space="preserve">deze structuurformules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lipiden</w:t>
            </w:r>
          </w:p>
          <w:p>
            <w:pPr>
              <w:pStyle w:val="ListParagraph"/>
              <w:numPr>
                <w:ilvl w:val="0"/>
                <w:numId w:val="9"/>
              </w:numPr>
            </w:pPr>
            <w:r>
              <w:rPr/>
              <w:t xml:space="preserve">de indeling van lipiden in triglyceriden, fosfolipiden en steroïden</w:t>
            </w:r>
          </w:p>
          <w:p>
            <w:pPr>
              <w:pStyle w:val="ListParagraph"/>
              <w:numPr>
                <w:ilvl w:val="0"/>
                <w:numId w:val="9"/>
              </w:numPr>
            </w:pPr>
            <w:r>
              <w:rPr/>
              <w:t xml:space="preserve">cholesterol</w:t>
            </w:r>
          </w:p>
          <w:p>
            <w:pPr>
              <w:pStyle w:val="ListParagraph"/>
              <w:numPr>
                <w:ilvl w:val="0"/>
                <w:numId w:val="9"/>
              </w:numPr>
            </w:pPr>
            <w:r>
              <w:rPr/>
              <w:t xml:space="preserve">verzadigde en onverzadigde vetzuren</w:t>
            </w:r>
          </w:p>
          <w:p>
            <w:pPr>
              <w:pStyle w:val="ListParagraph"/>
              <w:numPr>
                <w:ilvl w:val="0"/>
                <w:numId w:val="9"/>
              </w:numPr>
            </w:pPr>
            <w:r>
              <w:rPr/>
              <w:t xml:space="preserve">structuurformules van glycerol en van vetzuren (R-COOH)</w:t>
            </w:r>
          </w:p>
          <w:p>
            <w:pPr>
              <w:pStyle w:val="ListParagraph"/>
              <w:numPr>
                <w:ilvl w:val="0"/>
                <w:numId w:val="9"/>
              </w:numPr>
            </w:pPr>
            <w:r>
              <w:rPr/>
              <w:t xml:space="preserve">triglyceriden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lipiden opsommen en beschrijven</w:t>
              <w:br/>
              <w:t xml:space="preserve"/>
              <w:br/>
              <w:t xml:space="preserve">verzadigde en onverzadigde vetzuren vergelijken</w:t>
              <w:br/>
              <w:t xml:space="preserve"/>
              <w:br/>
              <w:t xml:space="preserve">deze structuurformules herkennen en tekenen</w:t>
              <w:br/>
              <w:t xml:space="preserve"/>
              <w:br/>
              <w:t xml:space="preserve">de chemische reactie van de vorming van een triglyceride uitleggen en tekenen</w:t>
              <w:br/>
              <w:t xml:space="preserve"/>
              <w:br/>
              <w:t xml:space="preserve">het verschil en het belang voor de gezondheid van verzadigde en onverzadigde triglyceriden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Toegepaste 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AGGREGATIETOESTANDEN – FASEOVERGANGEN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 en absolute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aggregatietoestanden definiëren en de waarneembare kenmerken geven</w:t>
              <w:br/>
              <w:t xml:space="preserve"/>
              <w:br/>
              <w:t xml:space="preserve">de symbolen van de grootheden en van de eenheden van temperatuur en absolute temperatuur in vraagstukken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 en stolproces vanuit het deeltjesmodel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oplossingen en mengsels</w:t>
            </w:r>
          </w:p>
          <w:p>
            <w:pPr>
              <w:pStyle w:val="ListParagraph"/>
              <w:numPr>
                <w:ilvl w:val="0"/>
                <w:numId w:val="10"/>
              </w:numPr>
            </w:pPr>
            <w:r>
              <w:rPr/>
              <w:t xml:space="preserve">smeltpuntverlaging</w:t>
            </w:r>
          </w:p>
          <w:p>
            <w:pPr>
              <w:pStyle w:val="ListParagraph"/>
              <w:numPr>
                <w:ilvl w:val="0"/>
                <w:numId w:val="10"/>
              </w:numPr>
            </w:pPr>
            <w:r>
              <w:rPr/>
              <w:t xml:space="preserve">smelttraject</w:t>
            </w:r>
          </w:p>
          <w:p>
            <w:pPr>
              <w:pStyle w:val="ListParagraph"/>
              <w:numPr>
                <w:ilvl w:val="0"/>
                <w:numId w:val="10"/>
              </w:numPr>
            </w:pPr>
            <w:r>
              <w:rPr/>
              <w:t xml:space="preserve">koudmakende 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de grootheden en van de eenheden van temperatuur en absolute temperatuur in vraagstukken gebruiken</w:t>
              <w:br/>
              <w:t xml:space="preserve"/>
              <w:br/>
              <w:t xml:space="preserve">het optreden van een smelttraject bij verontreinigingen en mengsels met een voorbeeld verklaren</w:t>
              <w:br/>
              <w:t xml:space="preserve"/>
              <w:br/>
              <w:t xml:space="preserve">het voorkomen van koudmakende mengsels vanuit een voorbeeld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w:t>
            </w:r>
          </w:p>
          <w:p>
            <w:pPr>
              <w:pStyle w:val="ListParagraph"/>
              <w:numPr>
                <w:ilvl w:val="0"/>
                <w:numId w:val="11"/>
              </w:numPr>
            </w:pPr>
            <w:r>
              <w:rPr/>
              <w:t xml:space="preserve">verzadigde en onverzadigde maximumdampdrukcurve</w:t>
            </w:r>
          </w:p>
          <w:p>
            <w:pPr>
              <w:pStyle w:val="ListParagraph"/>
              <w:numPr>
                <w:ilvl w:val="0"/>
                <w:numId w:val="11"/>
              </w:numPr>
            </w:pPr>
            <w:r>
              <w:rPr/>
              <w:t xml:space="preserve">luchtvochtigheid en relatieve vochtigheidsgraad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verzadigde en een onverzadigde damp benoemen</w:t>
              <w:br/>
              <w:t xml:space="preserve"/>
              <w:br/>
              <w:t xml:space="preserve">een maximumdampdrukcurve interpreteren</w:t>
              <w:br/>
              <w:t xml:space="preserve"/>
              <w:br/>
              <w:t xml:space="preserve">het verband leggen tussen de luchtvochtigheid en de maximumdampdrukcurve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OPPERVLAKTESPANNING EN CAPILLARITEIT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cohesie en adhesie</w:t>
              <w:br/>
              <w:t xml:space="preserve"/>
              <w:br/>
              <w:t xml:space="preserve">oppervlaktespanning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oppervlaktespanning verklaren met behulp van de cohesiekrachten</w:t>
              <w:br/>
              <w:t xml:space="preserve"/>
              <w:br/>
              <w:t xml:space="preserve">in concrete situaties het voorkomen van oppervlaktespanning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zoals</w:t>
            </w:r>
          </w:p>
          <w:p>
            <w:pPr>
              <w:pStyle w:val="ListParagraph"/>
              <w:numPr>
                <w:ilvl w:val="0"/>
                <w:numId w:val="12"/>
              </w:numPr>
            </w:pPr>
            <w:r>
              <w:rPr/>
              <w:t xml:space="preserve">druk in een zeepbel</w:t>
            </w:r>
          </w:p>
          <w:p>
            <w:pPr>
              <w:pStyle w:val="ListParagraph"/>
              <w:numPr>
                <w:ilvl w:val="0"/>
                <w:numId w:val="12"/>
              </w:numPr>
            </w:pPr>
            <w:r>
              <w:rPr/>
              <w:t xml:space="preserve">streven naar de bolvorm</w:t>
            </w:r>
          </w:p>
          <w:p>
            <w:pPr>
              <w:pStyle w:val="ListParagraph"/>
              <w:numPr>
                <w:ilvl w:val="0"/>
                <w:numId w:val="12"/>
              </w:numPr>
            </w:pPr>
            <w:r>
              <w:rPr/>
              <w:t xml:space="preserve">bevochtigen van een oppervlak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toepassingen met behulp van de oppervlaktespanning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oppervlaktespanning beïnvloeden</w:t>
            </w:r>
          </w:p>
          <w:p>
            <w:pPr>
              <w:pStyle w:val="ListParagraph"/>
              <w:numPr>
                <w:ilvl w:val="0"/>
                <w:numId w:val="13"/>
              </w:numPr>
            </w:pPr>
            <w:r>
              <w:rPr/>
              <w:t xml:space="preserve">het toevoegen van tensioactieve stoffen</w:t>
            </w:r>
          </w:p>
          <w:p>
            <w:pPr>
              <w:pStyle w:val="ListParagraph"/>
              <w:numPr>
                <w:ilvl w:val="0"/>
                <w:numId w:val="13"/>
              </w:numPr>
            </w:pPr>
            <w:r>
              <w:rPr/>
              <w:t xml:space="preserve">het veranderen van de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factoren temperatuur en tensioactieve stoffen de oppervlaktespanning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w:t>
            </w:r>
          </w:p>
          <w:p>
            <w:pPr>
              <w:pStyle w:val="ListParagraph"/>
              <w:numPr>
                <w:ilvl w:val="0"/>
                <w:numId w:val="14"/>
              </w:numPr>
            </w:pPr>
            <w:r>
              <w:rPr/>
              <w:t xml:space="preserve">grensvlakspanning vloeistof</w:t>
            </w:r>
          </w:p>
          <w:p>
            <w:pPr>
              <w:pStyle w:val="ListParagraph"/>
              <w:numPr>
                <w:ilvl w:val="0"/>
                <w:numId w:val="14"/>
              </w:numPr>
            </w:pPr>
            <w:r>
              <w:rPr/>
              <w:t xml:space="preserve">vaste wand</w:t>
            </w:r>
          </w:p>
          <w:p>
            <w:pPr>
              <w:pStyle w:val="ListParagraph"/>
              <w:numPr>
                <w:ilvl w:val="0"/>
                <w:numId w:val="14"/>
              </w:numPr>
            </w:pPr>
            <w:r>
              <w:rPr/>
              <w:t xml:space="preserve">capillariteit en toepassingen</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het vloeistofoppervlak aan de rand van het vat toelichten vanuit de onderlinge grootte van cohesie- en adhesiekrachten</w:t>
              <w:br/>
              <w:t xml:space="preserve"/>
              <w:br/>
              <w:t xml:space="preserve">capillaire opstijging en neerdrukking verklaren via deze randeffecten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DIFFUSIE EN OSMOSE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diffusie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diffusie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snelheid van diffusie beïnvloeden</w:t>
            </w:r>
          </w:p>
          <w:p>
            <w:pPr>
              <w:pStyle w:val="ListParagraph"/>
              <w:numPr>
                <w:ilvl w:val="0"/>
                <w:numId w:val="15"/>
              </w:numPr>
            </w:pPr>
            <w:r>
              <w:rPr/>
              <w:t xml:space="preserve">temperatuur</w:t>
            </w:r>
          </w:p>
          <w:p>
            <w:pPr>
              <w:pStyle w:val="ListParagraph"/>
              <w:numPr>
                <w:ilvl w:val="0"/>
                <w:numId w:val="15"/>
              </w:numPr>
            </w:pPr>
            <w:r>
              <w:rPr/>
              <w:t xml:space="preserve">aggregatietoestand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aggregatietoestand en de temperatuur op de diffusiesnelheid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osmose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diffusie en osmose benoemen</w:t>
              <w:br/>
              <w:t xml:space="preserve"/>
              <w:br/>
              <w:t xml:space="preserve">de functie van de half doorlaatbare wand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hypotonische, isotonische en hypertonische oplossingen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hypotonische, isotonische en hypertonische oplossingen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VISCOSITEIT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viscositeit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viscositeit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Farmaceutische toepassingen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16"/>
              </w:numPr>
            </w:pPr>
            <w:r>
              <w:rPr/>
              <w:t xml:space="preserve">internationale eenheden</w:t>
            </w:r>
          </w:p>
          <w:p>
            <w:pPr>
              <w:pStyle w:val="ListParagraph"/>
              <w:numPr>
                <w:ilvl w:val="0"/>
                <w:numId w:val="16"/>
              </w:numPr>
            </w:pPr>
            <w:r>
              <w:rPr/>
              <w:t xml:space="preserve">glaswerk: erlenmeyer, maatcilinder, maatbeker, maatkolf</w:t>
            </w:r>
          </w:p>
          <w:p>
            <w:pPr>
              <w:pStyle w:val="ListParagraph"/>
              <w:numPr>
                <w:ilvl w:val="0"/>
                <w:numId w:val="16"/>
              </w:numPr>
            </w:pPr>
            <w:r>
              <w:rPr/>
              <w:t xml:space="preserve">oxidatie, reductie, antioxidans</w:t>
            </w:r>
          </w:p>
          <w:p>
            <w:pPr>
              <w:pStyle w:val="ListParagraph"/>
              <w:numPr>
                <w:ilvl w:val="0"/>
                <w:numId w:val="16"/>
              </w:numPr>
            </w:pPr>
            <w:r>
              <w:rPr/>
              <w:t xml:space="preserve">kalibreren</w:t>
            </w:r>
          </w:p>
          <w:p>
            <w:pPr>
              <w:pStyle w:val="ListParagraph"/>
              <w:numPr>
                <w:ilvl w:val="0"/>
                <w:numId w:val="16"/>
              </w:numPr>
            </w:pPr>
            <w:r>
              <w:rPr/>
              <w:t xml:space="preserve">tarreren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elk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etikettering van gevaarlijke producten</w:t>
            </w:r>
          </w:p>
          <w:p>
            <w:pPr>
              <w:pStyle w:val="ListParagraph"/>
              <w:numPr>
                <w:ilvl w:val="0"/>
                <w:numId w:val="17"/>
              </w:numPr>
            </w:pPr>
            <w:r>
              <w:rPr/>
              <w:t xml:space="preserve">de negen (GHS) pictogrammen</w:t>
            </w:r>
          </w:p>
          <w:p>
            <w:pPr>
              <w:pStyle w:val="ListParagraph"/>
              <w:numPr>
                <w:ilvl w:val="0"/>
                <w:numId w:val="17"/>
              </w:numPr>
            </w:pPr>
            <w:r>
              <w:rPr/>
              <w:t xml:space="preserve">gevarenaanduidingen</w:t>
            </w:r>
          </w:p>
          <w:p>
            <w:pPr>
              <w:pStyle w:val="ListParagraph"/>
              <w:numPr>
                <w:ilvl w:val="0"/>
                <w:numId w:val="17"/>
              </w:numPr>
            </w:pPr>
            <w:r>
              <w:rPr/>
              <w:t xml:space="preserve">voorzorgsmaatregelen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negen (GHS) pictogrammen herkennen</w:t>
              <w:br/>
              <w:t xml:space="preserve"/>
              <w:br/>
              <w:t xml:space="preserve">H-zinnen herkennen als gevarenaanduidingen</w:t>
              <w:br/>
              <w:t xml:space="preserve"/>
              <w:br/>
              <w:t xml:space="preserve">P-zinnen herkennen als voorzorgsmaatregelen</w:t>
              <w:br/>
              <w:t xml:space="preserve"/>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fysica (FTA) 3de graad TSO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Eigen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rekentoestel beschikbaar op de computer</w:t>
      </w:r>
    </w:p>
    <w:p>
      <w:pPr>
        <w:jc w:val="both"/>
      </w:pPr>
      <w:r>
        <w:t xml:space="preserve">digitale bijlagen : het PSE en determinatietabel organische stofklassen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Farmaceutische toepassingen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KAREL BRUGGEMANS, YVETTE HERZOG, Reeks Chemie ondersteunend materiaal</w:t>
              <w:br/>
              <w:t xml:space="preserve"/>
              <w:br/>
              <w:t xml:space="preserve">CHALMET M, e.a.Chemie eenheid 5/6a - Anorganische scheikunde</w:t>
              <w:br/>
              <w:t xml:space="preserve"/>
              <w:br/>
              <w:t xml:space="preserve">SPRINGER MEDIA BV, Basiskennis schei- en natuurkunde, Reeks: Basiswerk AG, 2008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GENSERIK RENIERS, Fundamentele begrippen van de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www.acco.be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