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Rekenen en schatten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Algebraïsche verbanden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Bovendien krijg je meer zelfvertrouwen omdat je de verschillende soorten oefeningen herkent.</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en je resultaat toetst op betrouwbaarheid: bijvoorbeeld toets het resultaat van een vergelijking aan je opgave.</w:t>
        <w:br/>
        <w:t xml:space="preserve"/>
        <w:br/>
        <w:t xml:space="preserve">5.      Studeren met leeftijdsgenoten kan motiveren en helpen je eigen mogelijkheden te vergroten.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en zijn instellingen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Rekenen en schatten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getallen in decimale vorm, breukvorm en in wetenschappelijke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decimale getallen en getallen in breukvorm uitrekenen met behulp van ICT</w:t>
              <w:br/>
              <w:t xml:space="preserve"/>
              <w:br/>
              <w:t xml:space="preserve">de wetenschappelijke notatie van een getal herkennen en toepassen</w:t>
              <w:br/>
              <w:t xml:space="preserve"/>
              <w:br/>
              <w:t xml:space="preserve">de wetenschappelijke notatie van een getal bepalen met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grootheden en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grootheden en bewerkingen herkennen bij het oplossen van 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schattend en benaderend 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problemen verantwoord kiezen tussen schattend of benaderend rekenen met ICT</w:t>
              <w:br/>
              <w:t xml:space="preserve"/>
              <w:br/>
              <w:t xml:space="preserve">bij opeenvolgende berekeningen zinvol afronden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Algebraïsche verbanden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Tabellen en grafieken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variabelen in een gegeven betekenisvolle situatie: kranten en/of tijdschriften, informatiefolders, resultaten van een meetproces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verband tussen variabelen herkennen</w:t>
              <w:br/>
              <w:t xml:space="preserve"/>
              <w:br/>
              <w:t xml:space="preserve">deze verbanden vertalen naar een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informatie grafisch voorstellen in een assenstelsel, dat die de verbanden correct weergeeft</w:t>
              <w:br/>
              <w:t xml:space="preserve"/>
              <w:br/>
              <w:t xml:space="preserve">punten plaatsen op een assenstelsel met behulp van hun coördinaten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uit tabellen en grafieken: grootheden, extreme waarden, stijgen, dalen of constant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tabellen en grafische voorstellingen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Omgaan met formules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verbanden tussen variabelen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variabelen  herkennen</w:t>
              <w:br/>
              <w:t xml:space="preserve"/>
              <w:br/>
              <w:t xml:space="preserve">deze verbanden omzetten naar een formule</w:t>
              <w:br/>
              <w:t xml:space="preserve"/>
              <w:br/>
              <w:t xml:space="preserve">het effect van de verandering van de ene variabele op de waarde van de andere aangeven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getalwaarden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aan de hand van een 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Samenhang tussen tabellen, grafieken en formules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verband tussen variabelen: verwoording, grafiek, formule en tabel en hun samenhang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voorstellingswijzen weergeven op verschillende manieren</w:t>
              <w:br/>
              <w:t xml:space="preserve"/>
              <w:br/>
              <w:t xml:space="preserve">de samenhang tussen deze voorstellingswijzen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Eerstegraadsfuncties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eerstegraadsfunctie: verwoording, grafiek, formule en tabel en hun samenhang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weergeven op verschillende manieren</w:t>
              <w:br/>
              <w:t xml:space="preserve"/>
              <w:br/>
              <w:t xml:space="preserve">de samenhang tussen 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eerstegraadsfunctie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van 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eerstegraadsfunctie: nulpunt, tekenverloop,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nulpunt aanduiden als het snijpunt van de rechte met de x-as</w:t>
              <w:br/>
              <w:t xml:space="preserve"/>
              <w:br/>
              <w:t xml:space="preserve">de grafische voorstelling omzetten naar een tekenverloop</w:t>
              <w:br/>
              <w:t xml:space="preserve"/>
              <w:br/>
              <w:t xml:space="preserve">het stijgen en dalen van een rechte herkennen aan de waarde van de richtingscoëfficiënt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algebraïsche oplossingsmethoden voor een stelsel eerstegraadsvergelijkingen: gelijkstellings-, combinatie- en substitutiemethode of een combinatie van 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toepassen om stelsel van twee vergelijkingen van de eerste graad met twee onbekenden op te lossen</w:t>
              <w:br/>
              <w:t xml:space="preserve"/>
              <w:br/>
              <w:t xml:space="preserve">een stelsel eerstegraadsvergelijkingen opstellen voor verbanden beschreven door twee eerstegraadsvergelijkingen</w:t>
              <w:br/>
              <w:t xml:space="preserve"/>
              <w:br/>
              <w:t xml:space="preserve">eenvoudige vraagstukken oplossen met behulp van een stelsel eerstegraadsvergelijkingen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ligging van twee 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oplossing van een stelsel eerstegraadsvergelijkingen interpreteren als het snijpunt van twee rechten</w:t>
              <w:br/>
              <w:t xml:space="preserve"/>
              <w:br/>
              <w:t xml:space="preserve">een stelsel eerstegraadvergelijkingen grafisch oplossen met behulp van ICT</w:t>
              <w:br/>
              <w:t xml:space="preserve"/>
              <w:br/>
              <w:t xml:space="preserve">de ligging van twee grafieken vergelijken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begrippen: evenwijdigheid en loodrechte stand in vlakke en beperkte ruimtelijke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op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gelijkvormigheid van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gelijke verhoudingen van de zijden van gelijkvormige driehoeken toepassen om lengten te berekenen</w:t>
              <w:br/>
              <w:t xml:space="preserve"/>
              <w:br/>
              <w:t xml:space="preserve">eenvoudige problemen oplossen met behulp van gelijkvormigheid, ondersteund met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Thales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lengten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supplementaire en complementaire 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om hoeken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eigenschappen van driehoeken en cirkels: omgeschreven en ingeschreven 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cirkels herkennen en benoemen op een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cirkel: straal en diameter, apothema en koorde, middellijn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lengten berekenen in een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cirkel: middelpuntshoek en omtrekshoek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beide hoeken toepassen om hoeken in een cirkel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Pythagoras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afstanden in een rechthoekige driehoek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driehoeksmeetkunde in een rechthoekige driehoek: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verhoudingen toepassen om lengten en hoeken te berekenen, ondersteund met een tekening</w:t>
              <w:br/>
              <w:t xml:space="preserve"/>
              <w:br/>
              <w:t xml:space="preserve">de goniometrische getallen berekenen met behulp van ICT</w:t>
              <w:br/>
              <w:t xml:space="preserve"/>
              <w:br/>
              <w:t xml:space="preserve">het maatgetal van een scherpe hoek berekenen als de goniometrische getallen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afstandsformule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coördinaten van twee punten gebruiken om van afstanden in het vlak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en kwantitatief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statistische gegevens uit frequentietabellen en grafische voorstellingen: enquêtes in jongerentijdschriften, internet, kranten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terugvinden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staaf-, taart-, lijndiagram, 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aflezen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centrummaten: gemiddelde, mediaan en kwartielen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getallen berekenen met behulp van ICT</w:t>
              <w:br/>
              <w:t xml:space="preserve"/>
              <w:br/>
              <w:t xml:space="preserve">besluiten trekken voor een reeks gegevens aan de hand van deze getallen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2kso 2tso_bijlage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2kso / 2tso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Wij stellen niet alles waarmee je thuis oefent ter beschikking maar beperken ons tot toepassingen die hierboven staan opgesomd.</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herken en gebruik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duid je het juiste antwoord aan om een punt te scoren</w:t>
      </w:r>
    </w:p>
    <w:p>
      <w:pPr>
        <w:jc w:val="both"/>
      </w:pPr>
      <w:r>
        <w:t xml:space="preserve">-	vul je je antwoord in met de juiste wiskundige notatie</w:t>
      </w:r>
    </w:p>
    <w:p>
      <w:pPr>
        <w:jc w:val="both"/>
      </w:pPr>
      <w:r>
        <w:t xml:space="preserve">-	rond je zinvol af </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Rekenen en schatten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Algebraïsche verbanden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w:t>
              <w:br/>
              <w:t xml:space="preserve">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 3 en 4</w:t>
              <w:br/>
              <w:t xml:space="preserve"/>
              <w:br/>
              <w:t xml:space="preserve">Nieuwe Top /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