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kunstbeschouwing en filosofie 2 DO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2e graad aso</w:t>
      </w:r>
    </w:p>
    <w:p w14:paraId="6F9C7D5A" w14:textId="79849158" w:rsidR="006A6801" w:rsidRDefault="00EB0FCA" w:rsidP="004B5B24">
      <w:pPr>
        <w:pStyle w:val="ListParagraph"/>
        <w:spacing w:after="160" w:line="259" w:lineRule="auto"/>
        <w:ind w:left="708" w:firstLine="708"/>
      </w:pPr>
      <w:r w:rsidRPr="00646AC9">
        <w:rPr>
          <w:color w:val="00B050"/>
        </w:rPr>
        <w:t/>
      </w:r>
      <w:r>
        <w:t>Humane wetenschappen</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http://eindtermen.vlaanderen.be/index.htm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De eigenheid van de richting humane wetenschappen komt het meest nadrukkelijk tot uiting in de vakken gedragswetenschappen en cultuurwetenschappen. In de gedragswetenschappen ontdek je hoe een individu, groepen en een samenleving functioneren en waarom dat zo is. Je zoekt naar verklaringen in onder meer de psychologie, de sociologie, de pedagogiek en de ethiek. In de cultuurwetenschappen onderzoek je hoe de mens zich uitdrukt in een samenleving. Je zoekt naar gelijkenissen en verschillen tussen samenlevingen en probeert die te verbinden met grotere maatschappelijke structuren.</w:t>
      </w:r>
    </w:p>
    <w:p>
      <w:r>
        <w:rPr/>
        <w:t xml:space="preserve"/>
      </w:r>
      <w:r>
        <w:rPr>
          <w:color w:val="00B050"/>
        </w:rPr>
        <w:t/>
      </w:r>
    </w:p>
    <w:p w14:paraId="70391787" w14:textId="3DB223A8" w:rsidR="00047953" w:rsidRDefault="001D02B3" w:rsidP="0082741A">
      <w:r>
        <w:rPr>
          <w:color w:val="00B050"/>
        </w:rPr>
        <w:t/>
      </w:r>
      <w:r>
        <w:t/>
      </w:r>
      <w:r>
        <w:rPr/>
        <w:t xml:space="preserve">Volgende thema's vind je terug in de cultuurwetenschappen: kunstgeschiedenis, filosofie, politiek, recht, media, geschiedenis, ethiek en antropologie. In de tweede graad maak je één voor één kennis met deze thema's en in de derde graad diep je ze verder uit.</w:t>
      </w:r>
    </w:p>
    <w:p>
      <w:r>
        <w:rPr/>
        <w:t xml:space="preserve">In de cultuurwetenschappen leer je jezelf en de samenleving beter te begrijpen. Je bestudeert culturele uitingen van een samenleving en je leert om die uitdrukkingsvormen niet als vanzelfsprekend te beschouwen. Het is boeiend om te ontdekken dat de samenleving er vroeger anders uitzag.  Het  wekt verwondering op dat ze er op andere plaatsen in de wereld anders uitziet. Je gaat aan de slag met onderwerpen die nauw aanleunen bij de actualiteit.</w:t>
      </w:r>
    </w:p>
    <w:p>
      <w:r>
        <w:rPr/>
        <w:t xml:space="preserve">Communicatie is belangrijk in onze maatschappij. Sociale media en reclame zijn niet meer weg te denken. Het is belangrijk om daar op een correcte manier mee om te gaan, zodat je je niet laat misleiden. Ons gedrag wordt ook bepaald door onze cultuur: toch was onze cultuur niet altijd dezelfde. Onze cultuur is ook verschillend van andere culturen. Die verschillen komen vaak tot uiting in de kunst. We leven ten slotte in een maatschappij met veel afspraken: het is handig om te weten hoe die samenleving georganiseerd is en aan welke afspraken je je moet houden.</w:t>
      </w:r>
    </w:p>
    <w:p>
      <w:r>
        <w:rPr/>
        <w:t xml:space="preserve">Deze vakfiche sluit nauw aan bij de eindtermen van de Vlaamse overheid. Deze eindtermen vormen de basis voor onze examens. Zo toetsen we of je de vereiste vaardigheden en competenties voldoende beheerst. </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Communicatie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Denken over mens en samenleving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Organisatie en wisselwerking</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Expressie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volgende tabellen vind je wat je voor elke leerinhoud moet kennen en wat je moet kunnen of doen op het examen. Hieronder vind je een korte omschrijving van de vier leerinhouden, gevolgd door enkele belangrijke aandachtspunten bij het gebruik van de werkwoorden.</w:t>
      </w:r>
    </w:p>
    <w:p>
      <w:r>
        <w:rPr/>
        <w:t xml:space="preserve">Voor </w:t>
      </w:r>
      <w:r>
        <w:rPr>
          <w:b/>
        </w:rPr>
        <w:t xml:space="preserve">leerinhoud 1</w:t>
      </w:r>
      <w:r>
        <w:rPr/>
        <w:t xml:space="preserve"> bestudeer je het Vlaamse medialandschap. Je analyseert hoe digitale communicatie belangrijke gevolgen heeft. Je bestudeert de eigen taal van reclame.</w:t>
      </w:r>
    </w:p>
    <w:p>
      <w:r>
        <w:rPr/>
        <w:t xml:space="preserve">Voor </w:t>
      </w:r>
      <w:r>
        <w:rPr>
          <w:b/>
        </w:rPr>
        <w:t xml:space="preserve">leerinhoud 2</w:t>
      </w:r>
      <w:r>
        <w:rPr/>
        <w:t xml:space="preserve"> probeer je inzicht te krijgen in de waarden en normen die mensen hanteren en doorgeven in een samenleving. Je beschrijft dat die waarden en normen niet altijd en overal dezelfde zijn. Je vergelijkt verwachtingspatronen in de samenleving voor bepaalde groepen.</w:t>
      </w:r>
    </w:p>
    <w:p>
      <w:r>
        <w:rPr/>
        <w:t xml:space="preserve">Voor </w:t>
      </w:r>
      <w:r>
        <w:rPr>
          <w:b/>
        </w:rPr>
        <w:t xml:space="preserve">leerinhoud 3</w:t>
      </w:r>
      <w:r>
        <w:rPr/>
        <w:t xml:space="preserve"> neem je de beschrijving van de maatschappelijke velden onder de loep: je bestudeert hoe ze veranderen en elkaar beïnvloeden. Telkens is een accent gelegd op een instelling van het lokale niveau.</w:t>
      </w:r>
    </w:p>
    <w:p>
      <w:r>
        <w:rPr/>
        <w:t xml:space="preserve">Voor </w:t>
      </w:r>
      <w:r>
        <w:rPr>
          <w:b/>
        </w:rPr>
        <w:t xml:space="preserve">leerinhoud 4</w:t>
      </w:r>
      <w:r>
        <w:rPr/>
        <w:t xml:space="preserve"> verken je de achterliggende waarden in kunstwerken. Je vergelijkt recensies over hetzelfde kunstwerk.</w:t>
      </w:r>
    </w:p>
    <w:p>
      <w:r>
        <w:rPr/>
        <w:t xml:space="preserve">Het is voor elk van deze vier leerinhouden belangrijk om de actualiteit te volgen. Je gebruikt op het examen immers vaak actuele artikels. Er staan in de tabellen heel wat begrippen: het kan je helpen om een begrippenlijst aan te leggen of begrippenlijsten uit handboeken te gebruiken.</w:t>
      </w:r>
    </w:p>
    <w:p>
      <w:r>
        <w:rPr/>
        <w:t xml:space="preserve">Naast de kennis over elk van deze vier leerinhouden moet je op het examen aantonen dat je de volgende </w:t>
      </w:r>
      <w:r>
        <w:rPr>
          <w:b/>
        </w:rPr>
        <w:t xml:space="preserve">vaardigheden </w:t>
      </w:r>
      <w:r>
        <w:rPr/>
        <w:t xml:space="preserve">beheerst:</w:t>
      </w:r>
    </w:p>
    <w:p>
      <w:r>
        <w:rPr/>
        <w:t xml:space="preserve">»       actuele informatie uit bronnenmateriaal zoals beeldmateriaal,  grafieken, cartoons, krantenartikels… gebruiken om leerinhouden te verklaren en te analyseren;</w:t>
      </w:r>
    </w:p>
    <w:p>
      <w:r>
        <w:rPr/>
        <w:t xml:space="preserve">»       de leerinhouden toepassen op de actualiteit;</w:t>
      </w:r>
    </w:p>
    <w:p>
      <w:r>
        <w:rPr/>
        <w:t xml:space="preserve">»       uit een tekst de hoofd- en bijzaken van elkaar kunnen onderscheiden;</w:t>
      </w:r>
    </w:p>
    <w:p>
      <w:r>
        <w:rPr/>
        <w:t xml:space="preserve">»       feiten en meningen van elkaar kunnen onderscheiden.</w:t>
      </w:r>
    </w:p>
    <w:p>
      <w:r>
        <w:rPr/>
        <w:t xml:space="preserve">Als er geschreven bronnen gebruikt worden, zijn dit steeds Nederlandstalige bronnen.</w:t>
      </w:r>
    </w:p>
    <w:p>
      <w:r>
        <w:rPr>
          <w:b/>
        </w:rPr>
        <w:t xml:space="preserve">Belangrijke aandachtspunten bij het gebruik van de werkwoorden.</w:t>
      </w:r>
    </w:p>
    <w:p>
      <w:r>
        <w:rPr/>
        <w:t xml:space="preserve">In de tabel 'wat moet je kunnen en doen?’ staat heel vaak dat je iets moet benoemen of beschrijven. </w:t>
      </w:r>
      <w:r>
        <w:rPr>
          <w:b/>
        </w:rPr>
        <w:t xml:space="preserve">Benoemen</w:t>
      </w:r>
      <w:r>
        <w:rPr/>
        <w:t xml:space="preserve"> wordt gebruikt bij een begrip. </w:t>
      </w:r>
      <w:r>
        <w:rPr>
          <w:b/>
        </w:rPr>
        <w:t xml:space="preserve">Beschrijven</w:t>
      </w:r>
      <w:r>
        <w:rPr/>
        <w:t xml:space="preserve"> wordt gebruikt bij een proces, evolutie of situatie. Beide woorden betekenen dat je in staat moet zijn om de inhoud in je eigen woorden uit te leggen. Het komt er niet op aan om exacte definities van bepaalde begrippen te geven, maar wel de begrippen juist te kunnen uitleggen in een bepaalde context. Alleen waar 'deze begrippen definiëren’ staat, moet je een letterlijke definitie kunnen geven. Dat geldt ook voor de afkortingen die je op een correcte manier voluit moet kunnen schrijven. Het kan ook zijn dat je een omschrijving krijgt en dat je het juiste begrip moet benoemen.</w:t>
      </w:r>
    </w:p>
    <w:p>
      <w:r>
        <w:rPr/>
        <w:t xml:space="preserve">Soms wordt het werkwoord </w:t>
      </w:r>
      <w:r>
        <w:rPr>
          <w:b/>
        </w:rPr>
        <w:t xml:space="preserve">vergelijken</w:t>
      </w:r>
      <w:r>
        <w:rPr/>
        <w:t xml:space="preserve"> gebruikt. Als je twee begrippen of ideeën moet vergelijken met elkaar, moet je voor jezelf eerst de begrippen of ideeën goed formuleren en dan op zoek gaan naar overeenkomsten en verschillen. </w:t>
      </w:r>
      <w:r>
        <w:rPr>
          <w:b/>
        </w:rPr>
        <w:t xml:space="preserve">Verklaren</w:t>
      </w:r>
      <w:r>
        <w:rPr/>
        <w:t xml:space="preserve"> betekent dan weer dat je moet kunnen uitleggen waarom iets op die manier geëvolueerd is. Als we '</w:t>
      </w:r>
      <w:r>
        <w:rPr>
          <w:b/>
        </w:rPr>
        <w:t xml:space="preserve">illustreren</w:t>
      </w:r>
      <w:r>
        <w:rPr/>
        <w:t xml:space="preserve">’ vermelden, dan moet je in staat zijn om concrete voorbeelden te geven van een leerinhoud. Soms helpen we je in deze vakfiche op weg door tussen haakjes 'bijvoorbeeld’ te vermelden. Deze opsomming is niet volledig: er kunnen dus andere voorbeelden gevraagd worden op het examen. Wanneer er geen 'bijvoorbeeld’ staat, is de opsomming volledig.</w:t>
      </w:r>
    </w:p>
    <w:p>
      <w:r>
        <w:rPr>
          <w:b/>
        </w:rPr>
        <w:t xml:space="preserve">Toepassen</w:t>
      </w:r>
      <w:r>
        <w:rPr/>
        <w:t xml:space="preserve"> komt heel vaak voor in deze vakfiche. Het betekent dat je de theorie moet kunnen verbinden met gegeven voorbeelden. Je zal de volgende soort vragen krijgen: je krijgt een tekst of afbeelding en er wordt aan jou gevraagd van welke theorie of begrip dit een toepassing is. Je zal tegelijk ook moeten verantwoorden waarom je voor die theorie of dat begrip kiest. Je kan dit zelf inoefenen door de voorbeelden in de leermiddelen te gebruiken. Je kan dit ook inoefenen door bijvoorbeeld een krant of tijdschrift te lezen en je af te vragen welke leerinhouden je kan toepassen op wat je net gelezen hebt. Probeer daar dan dieper op in te gaan.</w:t>
      </w:r>
    </w:p>
    <w:p>
      <w:r>
        <w:rPr/>
        <w:t xml:space="preserve">Wanneer het werkwoord </w:t>
      </w:r>
      <w:r>
        <w:rPr>
          <w:b/>
        </w:rPr>
        <w:t xml:space="preserve">analyseren</w:t>
      </w:r>
      <w:r>
        <w:rPr/>
        <w:t xml:space="preserve"> voorkomt, dan vragen we dat je deze inhoud zeer grondig beheerst. Vaak zal je aan de hand van teksten of afbeeldingen moeten bewijzen dat je de inhoud goed begrijpt, dat je de relatie legt met theorieën en dat je over die inhoud kan reflecteren. Dat betekent dat je bijvoorbeeld in staat moet zijn om de gevolgen van iets in te schatten, of de voor- en nadelen te bepalen. Je zal ook in staat moeten zijn om een probleem kritisch te bekijken en standpunten van voor- en tegenstanders vast te stellen.</w:t>
      </w:r>
    </w:p>
    <w:p>
      <w:r>
        <w:rPr/>
        <w:t xml:space="preserve">Bij het</w:t>
      </w:r>
      <w:r>
        <w:rPr>
          <w:b/>
        </w:rPr>
        <w:t xml:space="preserve"> beoordelen</w:t>
      </w:r>
      <w:r>
        <w:rPr/>
        <w:t xml:space="preserve"> verwachten we dat je je eigen standpunt bepaalt. Dat kan bijvoorbeeld een standpunt zijn over de voor- en nadelen van een theorie of een actueel probleem. Hier komt het erop aan om na een grondige analyse je standpunt te formuleren met duidelijke argumenten.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Communicatie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Massacommunicatie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dit onderdeel moet je de functies van massacommunicatie kunnen toepassen op voorbeelden. Je moet het informatieproces beschrijven: dat is de weg van een gebeurtenis naar een ontvanger.</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1.1.1 het communicatieproces</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communicatie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medium, zender, ontvanger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communicatiemodel van Lasswell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model beschrijven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1.1.2 massacommunicatie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massacommunicatie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massacommunicatie</w:t>
            </w:r>
          </w:p>
          <w:p>
            <w:pPr>
              <w:pStyle w:val="ListParagraph"/>
              <w:numPr>
                <w:ilvl w:val="0"/>
                <w:numId w:val="8"/>
              </w:numPr>
            </w:pPr>
            <w:r>
              <w:rPr/>
              <w:t xml:space="preserve">de informatieve functie</w:t>
            </w:r>
          </w:p>
          <w:p>
            <w:pPr>
              <w:pStyle w:val="ListParagraph"/>
              <w:numPr>
                <w:ilvl w:val="0"/>
                <w:numId w:val="8"/>
              </w:numPr>
            </w:pPr>
            <w:r>
              <w:rPr/>
              <w:t xml:space="preserve">de educatieve functie</w:t>
            </w:r>
          </w:p>
          <w:p>
            <w:pPr>
              <w:pStyle w:val="ListParagraph"/>
              <w:numPr>
                <w:ilvl w:val="0"/>
                <w:numId w:val="8"/>
              </w:numPr>
            </w:pPr>
            <w:r>
              <w:rPr/>
              <w:t xml:space="preserve">de persuasieve functie</w:t>
            </w:r>
          </w:p>
          <w:p>
            <w:pPr>
              <w:pStyle w:val="ListParagraph"/>
              <w:numPr>
                <w:ilvl w:val="0"/>
                <w:numId w:val="8"/>
              </w:numPr>
            </w:pPr>
            <w:r>
              <w:rPr/>
              <w:t xml:space="preserve">de diverterende functie</w:t>
            </w:r>
          </w:p>
          <w:p>
            <w:pPr>
              <w:pStyle w:val="ListParagraph"/>
              <w:numPr>
                <w:ilvl w:val="0"/>
                <w:numId w:val="8"/>
              </w:numPr>
            </w:pPr>
            <w:r>
              <w:rPr/>
              <w:t xml:space="preserve">de commerciële functie</w:t>
              <w:br/>
              <w:t xml:space="preserve"/>
            </w:r>
          </w:p>
          <w:p>
            <w:pPr>
              <w:pStyle w:val="ListParagraph"/>
              <w:numPr>
                <w:ilvl w:val="0"/>
                <w:numId w:val="8"/>
              </w:numPr>
            </w:pPr>
            <w:r>
              <w:rPr/>
              <w:t xml:space="preserve">de gemengde functies: edutainment en infotainment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benoemen,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1.1.3 het informatieproces</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actoren in het informatieproces:</w:t>
              <w:br/>
              <w:t xml:space="preserve"/>
              <w:br/>
              <w:t xml:space="preserve"/>
            </w:r>
          </w:p>
          <w:p>
            <w:pPr>
              <w:pStyle w:val="ListParagraph"/>
              <w:numPr>
                <w:ilvl w:val="0"/>
                <w:numId w:val="9"/>
              </w:numPr>
            </w:pPr>
            <w:r>
              <w:rPr/>
              <w:t xml:space="preserve">nieuwsagentschappen</w:t>
              <w:br/>
              <w:t xml:space="preserve"/>
              <w:br/>
              <w:t xml:space="preserve"/>
            </w:r>
          </w:p>
          <w:p>
            <w:pPr>
              <w:pStyle w:val="ListParagraph"/>
              <w:numPr>
                <w:ilvl w:val="0"/>
                <w:numId w:val="9"/>
              </w:numPr>
            </w:pPr>
            <w:r>
              <w:rPr/>
              <w:t xml:space="preserve"/>
              <w:br/>
              <w:t xml:space="preserve"/>
              <w:br/>
              <w:t xml:space="preserve"/>
              <w:br/>
              <w:t xml:space="preserve"/>
              <w:br/>
              <w:t xml:space="preserve">de verslaggever</w:t>
              <w:br/>
              <w:t xml:space="preserve"/>
              <w:br/>
              <w:t xml:space="preserve"/>
            </w:r>
          </w:p>
          <w:p>
            <w:pPr>
              <w:pStyle w:val="ListParagraph"/>
              <w:numPr>
                <w:ilvl w:val="0"/>
                <w:numId w:val="9"/>
              </w:numPr>
            </w:pPr>
            <w:r>
              <w:rPr/>
              <w:t xml:space="preserve"/>
              <w:br/>
              <w:t xml:space="preserve"/>
              <w:br/>
              <w:t xml:space="preserve">de correspondent</w:t>
              <w:br/>
              <w:t xml:space="preserve"/>
              <w:br/>
              <w:t xml:space="preserve"/>
            </w:r>
          </w:p>
          <w:p>
            <w:pPr>
              <w:pStyle w:val="ListParagraph"/>
              <w:numPr>
                <w:ilvl w:val="0"/>
                <w:numId w:val="9"/>
              </w:numPr>
            </w:pPr>
            <w:r>
              <w:rPr/>
              <w:t xml:space="preserve"/>
              <w:br/>
              <w:t xml:space="preserve"/>
              <w:br/>
              <w:t xml:space="preserve">de freelancejournalist</w:t>
              <w:br/>
              <w:t xml:space="preserve"/>
              <w:br/>
              <w:t xml:space="preserve"/>
            </w:r>
          </w:p>
          <w:p>
            <w:pPr>
              <w:pStyle w:val="ListParagraph"/>
              <w:numPr>
                <w:ilvl w:val="0"/>
                <w:numId w:val="9"/>
              </w:numPr>
            </w:pPr>
            <w:r>
              <w:rPr/>
              <w:t xml:space="preserve"/>
              <w:br/>
              <w:t xml:space="preserve"/>
              <w:br/>
              <w:t xml:space="preserve">de eindredacteur</w:t>
              <w:br/>
              <w:t xml:space="preserve"/>
              <w:br/>
              <w:t xml:space="preserve"/>
            </w:r>
          </w:p>
          <w:p>
            <w:pPr>
              <w:pStyle w:val="ListParagraph"/>
              <w:numPr>
                <w:ilvl w:val="0"/>
                <w:numId w:val="9"/>
              </w:numPr>
            </w:pPr>
            <w:r>
              <w:rPr/>
              <w:t xml:space="preserve"/>
              <w:br/>
              <w:t xml:space="preserve"/>
              <w:br/>
              <w:t xml:space="preserve">de persconferentie</w:t>
              <w:br/>
              <w:t xml:space="preserve"/>
              <w:br/>
              <w:t xml:space="preserve"/>
            </w:r>
          </w:p>
          <w:p>
            <w:pPr>
              <w:pStyle w:val="ListParagraph"/>
              <w:numPr>
                <w:ilvl w:val="0"/>
                <w:numId w:val="9"/>
              </w:numPr>
            </w:pPr>
            <w:r>
              <w:rPr/>
              <w:t xml:space="preserve"/>
              <w:br/>
              <w:t xml:space="preserve"/>
              <w:br/>
              <w:t xml:space="preserve">het individu en de sociale media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rol van deze actoren in het informatieproces beschrijven</w:t>
              <w:br/>
              <w:t xml:space="preserve">deze begrippen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inhoudelijke en praktische selectiecriteria van het informatieproces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criteria beschrijven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Het Vlaamse medialandschap</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Je moet het Vlaamse medialandschap kunnen beschrijven: zowel de geschreven massamedia als de audiovisuele massamedia. Je moet het onderscheid kunnen maken tussen soorten massamedia en die soorten vergelijken. Je moet ook een aantal typische begrippen rond het thema media beschrijven en toepassen op de actualiteit. Je zal mediacijfers moeten analyseren. Deze cijfers worden steeds gegeven op het examen. Ten slotte moet je kunnen aantonen welke gevolgen digitale communicatie heeft.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1.2.1 de geschreven massamedia: de krant en het tijdschrift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krant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verschil tussen verzuilde en ontzuilde kranten in de 20e eeuw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verschil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verschil tussen</w:t>
            </w:r>
          </w:p>
          <w:p>
            <w:pPr>
              <w:pStyle w:val="ListParagraph"/>
              <w:numPr>
                <w:ilvl w:val="0"/>
                <w:numId w:val="10"/>
              </w:numPr>
            </w:pPr>
            <w:r>
              <w:rPr/>
              <w:t xml:space="preserve">neutrale en opiniekranten</w:t>
            </w:r>
          </w:p>
          <w:p>
            <w:pPr>
              <w:pStyle w:val="ListParagraph"/>
              <w:numPr>
                <w:ilvl w:val="0"/>
                <w:numId w:val="10"/>
              </w:numPr>
            </w:pPr>
            <w:r>
              <w:rPr/>
              <w:t xml:space="preserve">populaire en kwaliteitskranten</w:t>
            </w:r>
          </w:p>
          <w:p>
            <w:pPr>
              <w:pStyle w:val="ListParagraph"/>
              <w:numPr>
                <w:ilvl w:val="0"/>
                <w:numId w:val="10"/>
              </w:numPr>
            </w:pPr>
            <w:r>
              <w:rPr/>
              <w:t xml:space="preserve">nationale en regionale kranten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verschillen beschrijven en illustreren</w:t>
              <w:br/>
              <w:t xml:space="preserve"/>
              <w:br/>
              <w:t xml:space="preserve">deze kranten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tabloid en sensatiepers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persconcentratie in mediagroepen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persconcentratie benoemen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oplage en marktaandeel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toepassen</w:t>
              <w:br/>
              <w:t xml:space="preserve"/>
              <w:br/>
              <w:t xml:space="preserve">conclusies trekken over de oplage en het marktaandeel van kranten aan de hand van cijfergegevens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editoriaal, column, opiniestuk, rubriek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vergelijken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tijdschrift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tijdschriften: nichebladen, tv-bladen, tienerbladen, vrouwen- en mannenbladen, businessbladen, sport- en automagazines, lifestylebladen, hobbymagazines, food and travelmagazines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soorten tijdschriften beschrijven, illustreren, vergelijken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1.2.2 de audiovisuele massamedia: televisie en radio</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televisie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impact van belangrijke gebeurtenissen in de televisie-geschiedenis: kleurentelevisie, commerciële televisie, digitale televisie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impact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verschil tussen         </w:t>
            </w:r>
          </w:p>
          <w:p>
            <w:pPr>
              <w:pStyle w:val="ListParagraph"/>
              <w:numPr>
                <w:ilvl w:val="0"/>
                <w:numId w:val="11"/>
              </w:numPr>
            </w:pPr>
            <w:r>
              <w:rPr/>
              <w:t xml:space="preserve">openbare en commerciële televisiezenders</w:t>
            </w:r>
          </w:p>
          <w:p>
            <w:pPr>
              <w:pStyle w:val="ListParagraph"/>
              <w:numPr>
                <w:ilvl w:val="0"/>
                <w:numId w:val="11"/>
              </w:numPr>
            </w:pPr>
            <w:r>
              <w:rPr/>
              <w:t xml:space="preserve">nationale en regionale televisiezenders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verschil beschrijven en illustreren</w:t>
              <w:br/>
              <w:t xml:space="preserve"/>
              <w:br/>
              <w:t xml:space="preserve">deze televisiezenders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kijkcijfers en marktaandeel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toepassen</w:t>
              <w:br/>
              <w:t xml:space="preserve"/>
              <w:br/>
              <w:t xml:space="preserve">conclusies trekken over de kijkcijfers en het marktaandeel van televisiezenders aan de hand van cijfergegevens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radio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verschil tussen</w:t>
            </w:r>
          </w:p>
          <w:p>
            <w:pPr>
              <w:pStyle w:val="ListParagraph"/>
              <w:numPr>
                <w:ilvl w:val="0"/>
                <w:numId w:val="12"/>
              </w:numPr>
            </w:pPr>
            <w:r>
              <w:rPr/>
              <w:t xml:space="preserve">openbare en commerciële zenders</w:t>
            </w:r>
          </w:p>
          <w:p>
            <w:pPr>
              <w:pStyle w:val="ListParagraph"/>
              <w:numPr>
                <w:ilvl w:val="0"/>
                <w:numId w:val="12"/>
              </w:numPr>
            </w:pPr>
            <w:r>
              <w:rPr/>
              <w:t xml:space="preserve">nationale en regionale zenders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verschil beschrijven en illustreren</w:t>
              <w:br/>
              <w:t xml:space="preserve"/>
              <w:br/>
              <w:t xml:space="preserve">deze zenders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luistercijfers en marktaandeel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toepassen</w:t>
              <w:br/>
              <w:t xml:space="preserve"/>
              <w:br/>
              <w:t xml:space="preserve">conclusies trekken over de luistercijfers en het marktaandeel van radiozenders aan de hand van cijfergegevens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beheersovereenkomst van de openbare omroep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verschil tussen omroep en zender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verschil beschrijven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doel van de beheersovereenkomst van de VRT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doel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1.2.3 digitale communicatie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digitale communicatie zoals internet, sociale media,…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communicatie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van deze communicatie</w:t>
            </w:r>
          </w:p>
          <w:p>
            <w:pPr>
              <w:pStyle w:val="ListParagraph"/>
              <w:numPr>
                <w:ilvl w:val="0"/>
                <w:numId w:val="13"/>
              </w:numPr>
            </w:pPr>
            <w:r>
              <w:rPr/>
              <w:t xml:space="preserve">op het individueel vlak</w:t>
            </w:r>
          </w:p>
          <w:p>
            <w:pPr>
              <w:pStyle w:val="ListParagraph"/>
              <w:numPr>
                <w:ilvl w:val="0"/>
                <w:numId w:val="13"/>
              </w:numPr>
            </w:pPr>
            <w:r>
              <w:rPr/>
              <w:t xml:space="preserve">op het maatschappelijk vlak</w:t>
            </w:r>
          </w:p>
          <w:p>
            <w:pPr>
              <w:pStyle w:val="ListParagraph"/>
              <w:numPr>
                <w:ilvl w:val="0"/>
                <w:numId w:val="13"/>
              </w:numPr>
            </w:pPr>
            <w:r>
              <w:rPr/>
              <w:t xml:space="preserve">op het juridisch vlak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gevolgen benoemen, illustreren, verklaren, toepassen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1.3 Reclame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dit onderdeel pas je verschillende reclamemodellen toe. Je beschrijft en analyseert de eigenheid van reclametaal. Je onderzoekt en beoordeelt de ethische en juridische aspecten van reclame.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1.3.1 reclamemodellen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reclame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reclame in het communicatieproces</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beschrijven, illustreren en toepassen</w:t>
              <w:br/>
              <w:t xml:space="preserve"/>
              <w:br/>
              <w:t xml:space="preserve"/>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algemene doelstellingen van reclame: merkbekendheid, merkgetrouwheid, attitudevorming, gedragsbeïnvloeding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doelstellingen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AIDA-model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reclamemodel beschrijven,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1.3.2 reclametaal</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aandacht voor vorm- en stijlkenmerken: slogan, lay-out, typografie, kleur, taalgebruik, omkadering zoals muziek, kledij, meubels, figuranten en voorwerpen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beschrijven, illustreren,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presentatievormen van reclame: presentator, testimonial, teaser, stop motion, rotoscope, close-up, herhaling, productplacement, billboarding, countdown spot, reclamebanners, viral marketing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van reclame beschrijven, illustreren, toepassen en analyseren</w:t>
              <w:br/>
              <w:t xml:space="preserve"/>
              <w:br/>
              <w:t xml:space="preserve">verklaren hoe digitale communicatie voor nieuwe vormen van reclame zorgt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1.3.3 de ethische aspecten van reclame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reclameboodschappen en waarden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waarden herkennen in voorbeelden</w:t>
              <w:br/>
              <w:t xml:space="preserve"/>
              <w:br/>
              <w:t xml:space="preserve">analyseren hoe waarden in boodschappen mee evolueren met de waarden van de maatschappij</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reclameboodschappen en stereotypen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stereotypen herkennen in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kritiek op reclame: maatschappelijk, sociaal-cultureel of zakelijk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kritiek benoemen, illustreren, toepassen, analyseren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ethische verantwoording van reclame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verantwoording analyseren en beoordelen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1.3.4 de juridische aspecten van reclame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de Vlaamse Regulator voor de Media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beschrijven, toepassen en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voornaamste beperkingen van de wet op de handelspraktijken: verbod op tabaksreclame, gedragscode voor kinderreclame, geen misleidende reclame, gedragscode voor reclame voor geneesmiddelen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beperkingen beschrijven, toepassen, analyseren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de Jury voor Ethische Praktijken inzake Reclame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beschrijven, toepassen en analyseren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Denken over mens en samenleving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2.1 Cultuur, waarden en normen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dit onderdeel moet je in staat zijn om cultuur te beschrijven en culturen te vergelijken. Je zal waarden en normen moeten toepassen op voorbeelden en beschrijven hoe ze ontstaan en veranderen. Je zal aan de hand van voorbeelden ook moeten beschrijven hoe waarden en normen worden doorgegeven en hoe men soms voortbouwt op oudere waarden en normen. Je zal een eigen waardenhiërarchie moeten opstellen en verantwoorden waarom je voor die hiërarchie kiest.</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2.1.1 cultuur</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cultuur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cultuur in brede en in enge zin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materiële en immateriële cultuurcomponenten</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br/>
              <w:t xml:space="preserve"/>
              <w:br/>
              <w:t xml:space="preserve">deze componenten beschrijven, illustreren en toepassen</w:t>
              <w:br/>
              <w:t xml:space="preserve"/>
              <w:br/>
              <w:t xml:space="preserve">culturen vergelijken op basis van deze componenten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2.1.2 waarden en normen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waarden en normen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 illustreren en toepassen</w:t>
              <w:br/>
              <w:t xml:space="preserve"/>
              <w:br/>
              <w:t xml:space="preserve">verbanden leggen tussen waarden en normen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factoren die waarden en normen beïnvloeden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waarden en de tijd waarin ze ontstaan</w:t>
              <w:br/>
              <w:t xml:space="preserve"/>
              <w:br/>
              <w:t xml:space="preserve">verbanden leggen tussen waarden en de plaats waar ze ontstaan</w:t>
              <w:br/>
              <w:t xml:space="preserve"/>
              <w:br/>
              <w:t xml:space="preserve">waarden en normen in verschillende culturen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formele en informele normen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normen benoemen en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waardenhiërarchieën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 illustreren en toepassen</w:t>
              <w:br/>
              <w:t xml:space="preserve"/>
              <w:br/>
              <w:t xml:space="preserve">een eigen hiërarchie opstellen, verklaren en beoordelen</w:t>
              <w:br/>
              <w:t xml:space="preserve"/>
              <w:br/>
              <w:t xml:space="preserve">verbanden leggen tussen dit begrip en de tijd waarin ze ontstaan</w:t>
              <w:br/>
              <w:t xml:space="preserve"/>
              <w:br/>
              <w:t xml:space="preserve">verbanden leggen tussen dit begrip en de plaats waar ze ontstaan</w:t>
              <w:br/>
              <w:t xml:space="preserve"/>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persoonlijke en maatschappelijke waardenhiërarchieën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hiërarchieën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intrapersoonlijk, interpersoonlijk en maatschappelijk waardenconflict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conflicten beschrijven, illustreren,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veranderingen in waarden en normen zoals bij de thema’s verkeersveiligheid, gezondheid, huwelijk, positie van het kind en van de vrouw, rechtspraak, onderwijs, subculturen, lichamelijkheid, slaap- en eetcultuur, voedingsgewoontes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veranderingen beschrijven, illustreren, verklaren en toepassen</w:t>
              <w:br/>
              <w:t xml:space="preserve"/>
              <w:br/>
              <w:t xml:space="preserve">deze veranderingen toepassen op één cultuur</w:t>
              <w:br/>
              <w:t xml:space="preserve"/>
              <w:br/>
              <w:t xml:space="preserve">deze veranderingen vergelijken in verschillende culturen aan de hand van gegeven voorbeelden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2.1.3 cultuuroverdracht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socialisatie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socialisatie en acculturatie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socialisatieproces op macro- en microniveau</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niveaus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expliciete en impliciete vormen van socialisatie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van socialisatie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cultuuroverdracht via rituelen</w:t>
            </w:r>
          </w:p>
          <w:p>
            <w:pPr>
              <w:pStyle w:val="ListParagraph"/>
              <w:numPr>
                <w:ilvl w:val="0"/>
                <w:numId w:val="14"/>
              </w:numPr>
            </w:pPr>
            <w:r>
              <w:rPr/>
              <w:t xml:space="preserve">inwijdingsrituelen zoals de (vrouwen)besnijdenis, een studentendoop, de bar mitswa, de communie, de haka…</w:t>
            </w:r>
          </w:p>
          <w:p>
            <w:pPr>
              <w:pStyle w:val="ListParagraph"/>
              <w:numPr>
                <w:ilvl w:val="0"/>
                <w:numId w:val="14"/>
              </w:numPr>
            </w:pPr>
            <w:r>
              <w:rPr/>
              <w:t xml:space="preserve">huwelijksrituelen</w:t>
            </w:r>
          </w:p>
          <w:p>
            <w:pPr>
              <w:pStyle w:val="ListParagraph"/>
              <w:numPr>
                <w:ilvl w:val="0"/>
                <w:numId w:val="14"/>
              </w:numPr>
            </w:pPr>
            <w:r>
              <w:rPr/>
              <w:t xml:space="preserve">begrafenisrituelen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ritueel benoemen, illustreren en toepassen</w:t>
              <w:br/>
              <w:t xml:space="preserve">deze rituelen beschrijven, illustreren en toepassen</w:t>
              <w:br/>
              <w:t xml:space="preserve"/>
              <w:br/>
              <w:t xml:space="preserve">de verschillen in rituelen tussen culturen vergelijken</w:t>
              <w:br/>
              <w:t xml:space="preserve"/>
              <w:br/>
              <w:t xml:space="preserve">de verschillen in begrafenisrituelen in de tijd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cultuuroverdracht via woord en beeld</w:t>
              <w:br/>
              <w:t xml:space="preserve"/>
            </w:r>
          </w:p>
          <w:p>
            <w:pPr>
              <w:pStyle w:val="ListParagraph"/>
              <w:numPr>
                <w:ilvl w:val="0"/>
                <w:numId w:val="15"/>
              </w:numPr>
            </w:pPr>
            <w:r>
              <w:rPr/>
              <w:t xml:space="preserve">woordgebruik en spreekwoorden</w:t>
            </w:r>
          </w:p>
          <w:p>
            <w:pPr>
              <w:pStyle w:val="ListParagraph"/>
              <w:numPr>
                <w:ilvl w:val="0"/>
                <w:numId w:val="15"/>
              </w:numPr>
            </w:pPr>
            <w:r>
              <w:rPr/>
              <w:t xml:space="preserve">digitale communicatie: smileys, emoji’s en selfies</w:t>
            </w:r>
          </w:p>
          <w:p>
            <w:pPr>
              <w:pStyle w:val="ListParagraph"/>
              <w:numPr>
                <w:ilvl w:val="0"/>
                <w:numId w:val="15"/>
              </w:numPr>
            </w:pPr>
            <w:r>
              <w:rPr/>
              <w:t xml:space="preserve">sprookjes, fabels en verhalen</w:t>
            </w:r>
          </w:p>
          <w:p>
            <w:pPr>
              <w:pStyle w:val="ListParagraph"/>
              <w:numPr>
                <w:ilvl w:val="0"/>
                <w:numId w:val="15"/>
              </w:numPr>
            </w:pPr>
            <w:r>
              <w:rPr/>
              <w:t xml:space="preserve">mythologie</w:t>
            </w:r>
          </w:p>
          <w:p>
            <w:pPr>
              <w:pStyle w:val="ListParagraph"/>
              <w:numPr>
                <w:ilvl w:val="0"/>
                <w:numId w:val="15"/>
              </w:numPr>
            </w:pPr>
            <w:r>
              <w:rPr/>
              <w:t xml:space="preserve">politieke ideologie</w:t>
              <w:br/>
              <w:t xml:space="preserve"/>
            </w:r>
          </w:p>
          <w:p>
            <w:pPr>
              <w:pStyle w:val="ListParagraph"/>
              <w:numPr>
                <w:ilvl w:val="0"/>
                <w:numId w:val="15"/>
              </w:numPr>
            </w:pPr>
            <w:r>
              <w:rPr/>
              <w:t xml:space="preserve">middeleeuwse beeldtaal bijvoorbeeld Tapijt van Bayeux, timpanen, Jeroen Bosch,…</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illustreren en verklaren hoe waarden en normen worden doorgegeven via woordgebruik en spreekwoorden, via digitale communicatie, via sprookjes, fabels en verhalen, via mythologie, via politieke ideologie, via middeleeuwse beeldtaal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cultuuroverdracht via levensbeschouwing en religie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illustreren en verklaren hoe waarden en normen worden doorgegeven via levensbeschouwing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cultuuroverdracht via jongerensubculturen bijvoorbeeld hippies, punk, gothic, hip hop, emo, gabber, hipster, yuccie, rappers, skaters, skinheads…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illustreren en verklaren hoe waarden en normen worden doorgegeven via jongerensubculturen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2.2 Stereotypen en verwachtingspatronen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verwachtingspatroon, stereotype en rollenpatroon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verwachtingen ten opzichte van gender</w:t>
            </w:r>
          </w:p>
          <w:p>
            <w:pPr>
              <w:pStyle w:val="ListParagraph"/>
              <w:numPr>
                <w:ilvl w:val="0"/>
                <w:numId w:val="16"/>
              </w:numPr>
            </w:pPr>
            <w:r>
              <w:rPr/>
              <w:t xml:space="preserve">de verwachtingen ten opzichte van gender uitgedrukt in cijfers</w:t>
            </w:r>
          </w:p>
          <w:p>
            <w:pPr>
              <w:pStyle w:val="ListParagraph"/>
              <w:numPr>
                <w:ilvl w:val="0"/>
                <w:numId w:val="16"/>
              </w:numPr>
            </w:pPr>
            <w:r>
              <w:rPr/>
              <w:t xml:space="preserve">de verschillende verwachtingen ten opzichte van gender in de tijd</w:t>
            </w:r>
          </w:p>
          <w:p>
            <w:pPr>
              <w:pStyle w:val="ListParagraph"/>
              <w:numPr>
                <w:ilvl w:val="0"/>
                <w:numId w:val="16"/>
              </w:numPr>
            </w:pPr>
            <w:r>
              <w:rPr/>
              <w:t xml:space="preserve">de verschillende verwachtingen ten opzichte van gender naargelang de cultuur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sekse en gender benoemen, illustreren en toepassen</w:t>
              <w:br/>
              <w:t xml:space="preserve"/>
              <w:br/>
              <w:t xml:space="preserve">deze verwachtingen beschrijven, illustreren, vergelijken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genderverschillen op meerdere domeinen: opleiding, arbeidsmarkt, politiek, vrijetijdsbesteding, gezinstaken, publiek leven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verschillen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verwachtingen ten opzichte van jongeren</w:t>
            </w:r>
          </w:p>
          <w:p>
            <w:pPr>
              <w:pStyle w:val="ListParagraph"/>
              <w:numPr>
                <w:ilvl w:val="0"/>
                <w:numId w:val="17"/>
              </w:numPr>
            </w:pPr>
            <w:r>
              <w:rPr/>
              <w:t xml:space="preserve">de verschillende verwachtingen ten opzichte van jongeren in de 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evolutie illustreren en vergelijken aan de hand van gegeven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verwachtingen ten opzichte van etnische groepen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verwachtingen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stereotypen van etnische groepen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stereotypen beschrijven, illustreren, vergelijken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Organisatie en wisselwerking</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3.1 Politiek veld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dit onderdeel beschrijf je de maatschappelijke velden, en toon je aan dat ze veranderen en elkaar beïnvloeden. Je moet ook een beschrijving kunnen geven van de werking van het politieke veld. Soms gaat het over algemene zaken zoals organisatievormen, maar meestal wordt de situatie toegepast op België en Vlaanderen. Je zal verschillende begrippen en evoluties moeten beschrijven en toepassen op gegeven voorbeelden. Voor dit onderdeel zal het je helpen om de actualiteit via het nieuws te volgen.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3.1.1 de maatschappelijke velden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maatschappelijke velden: politiek, juridisch, sociaal, economisch, cultureel</w:t>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velden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wisselwerking tussen de maatschappelijke velden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wisselwerking beschrijven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verandering in de maatschappelijke velden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verandering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3.1.2 de politieke organisatievormen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politieke organisatievormen: monarchie, republiek, theocratie, totalitair regime of dictatuur, democratie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3.1.3 de kenmerken en de werking van de democratische rechtsstaat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kenmerken en de werking van de democratische rechtsstaat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de democratische rechtsstaat benoemen</w:t>
              <w:br/>
              <w:t xml:space="preserve"/>
              <w:br/>
              <w:t xml:space="preserve">de werking van de democratische rechtsstaat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scheiding der machten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grondwet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oppositie en de coalitie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taken van het parlement en de regering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taken van een parlement en een regering beschrijven</w:t>
              <w:br/>
              <w:t xml:space="preserve"/>
              <w:br/>
              <w:t xml:space="preserve">de Premier en de Vlaamse Minister-President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vrije verkiezingen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beschrijven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3.1.4 de federale staat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federale staat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structuur van de Belgische federale staat: gemeenschappen, gewesten, provincies en de gemeente en hun bevoegdheden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structuur beschrijven en toepassen</w:t>
              <w:br/>
              <w:t xml:space="preserve"/>
              <w:br/>
              <w:t xml:space="preserve">deze bevoegdheden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3.1.5 de Vlaamse politieke partijen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Vlaamse politieke partijen: CD&amp;V, Groen, N-VA, Open Vld, PVDA, sp.a, Vlaams Belang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afkortingen van deze partijen voluit schrijven</w:t>
              <w:br/>
              <w:t xml:space="preserve"/>
              <w:br/>
              <w:t xml:space="preserve">de Waalse partijen van dezelfde ideologische strekking benoemen</w:t>
              <w:br/>
              <w:t xml:space="preserve"/>
              <w:br/>
              <w:t xml:space="preserve">één standpunt per partij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3.1.6 de gemeente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uitvoerende macht in de gemeente: burgemeester en schepencollege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macht beschrijven, toepassen, analyseren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wetgevende macht in de gemeente: de gemeenteraad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macht beschrijven, toepassen, analyseren en beoordelen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rol van de jeugdraad in de besluitvorming van de gemeente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rol beschrijven, toepassen, analyseren en beoordelen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3.2 Juridisch veld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dit onderdeel moet je het juridische veld kunnen beschrijven: dat is alles wat te maken heeft met de rechtspraak. Eerst moet je een aantal algemene begrippen beschrijven, nadien pas je de begrippen toe op de Belgische situatie.</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3.2.1 functies en soorten recht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recht</w:t>
            </w:r>
          </w:p>
          <w:p>
            <w:pPr>
              <w:pStyle w:val="ListParagraph"/>
              <w:numPr>
                <w:ilvl w:val="0"/>
                <w:numId w:val="18"/>
              </w:numPr>
            </w:pPr>
            <w:r>
              <w:rPr/>
              <w:t xml:space="preserve">het begrip recht</w:t>
            </w:r>
          </w:p>
          <w:p>
            <w:pPr>
              <w:pStyle w:val="ListParagraph"/>
              <w:numPr>
                <w:ilvl w:val="0"/>
                <w:numId w:val="18"/>
              </w:numPr>
            </w:pPr>
            <w:r>
              <w:rPr/>
              <w:t xml:space="preserve">functies van recht: de ordenende, instrumentele, de conflict oplossende, de normatieve 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br/>
              <w:t xml:space="preserve"/>
              <w:br/>
              <w:t xml:space="preserve"/>
              <w:br/>
              <w:t xml:space="preserve">dit begrip benoemen</w:t>
              <w:br/>
              <w:t xml:space="preserve"/>
              <w:br/>
              <w:t xml:space="preserve">deze functies beschrijven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soorten recht in België</w:t>
            </w:r>
          </w:p>
          <w:p>
            <w:pPr>
              <w:pStyle w:val="ListParagraph"/>
              <w:numPr>
                <w:ilvl w:val="0"/>
                <w:numId w:val="19"/>
              </w:numPr>
            </w:pPr>
            <w:r>
              <w:rPr/>
              <w:t xml:space="preserve">het privaatrecht</w:t>
            </w:r>
          </w:p>
          <w:p>
            <w:pPr>
              <w:pStyle w:val="ListParagraph"/>
              <w:numPr>
                <w:ilvl w:val="0"/>
                <w:numId w:val="19"/>
              </w:numPr>
            </w:pPr>
            <w:r>
              <w:rPr/>
              <w:t xml:space="preserve">het publiekrecht</w:t>
              <w:br/>
              <w:t xml:space="preserve"/>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br/>
              <w:t xml:space="preserve"/>
              <w:br/>
              <w:t xml:space="preserve"/>
              <w:br/>
              <w:t xml:space="preserve">deze soorten recht benoemen</w:t>
              <w:br/>
              <w:t xml:space="preserve"/>
              <w:br/>
              <w:t xml:space="preserve">de rechtstakken uit deze soorten recht beschrijven, illustreren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3.2.2 de organisatie van de rechterlijke macht in België</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driehoekstructuur in België met rechtbanken op verschillende niveaus: vredegerecht, politierechtbank, rechtbanken van eerste aanleg, arbeidsrechtbank, kamer van koophandel, hof van beroep, hof van assisen en hof van cassatie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structuur beschrijven en toepassen</w:t>
              <w:br/>
              <w:t xml:space="preserve"/>
              <w:br/>
              <w:t xml:space="preserve">concrete rechtszaken verbinden met de juiste rechtbanken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taken en de werking van het vredegerecht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taken en deze werking beschrijven, illustreren en toepassen</w:t>
              <w:br/>
              <w:t xml:space="preserve"/>
              <w:br/>
              <w:t xml:space="preserve">deze werking kritisch evalueren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3.3 Sociaal veld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dit onderdeel moet je het sociale veld kunnen beschrijven: je zal de verschillende soorten middenveld moeten beschrijven en toepassen op voorbeelden. Via de thema’s armoede en solidariteit beschrijf je de wisselwerking tussen het sociale en het politieke veld. Als je armoedecijfers moet analyseren, worden deze cijfers steeds gegeven op het examen.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3.3.1 het middenveld</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middenveld</w:t>
              <w:br/>
              <w:t xml:space="preserve"/>
              <w:br/>
              <w:t xml:space="preserve">de begrippen verzuiling en ontzuiling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indeling van het middenveld</w:t>
            </w:r>
          </w:p>
          <w:p>
            <w:pPr>
              <w:pStyle w:val="ListParagraph"/>
              <w:numPr>
                <w:ilvl w:val="0"/>
                <w:numId w:val="20"/>
              </w:numPr>
            </w:pPr>
            <w:r>
              <w:rPr/>
              <w:t xml:space="preserve">het sociaal-cultureel veld</w:t>
            </w:r>
          </w:p>
          <w:p>
            <w:pPr>
              <w:pStyle w:val="ListParagraph"/>
              <w:numPr>
                <w:ilvl w:val="0"/>
                <w:numId w:val="20"/>
              </w:numPr>
            </w:pPr>
            <w:r>
              <w:rPr/>
              <w:t xml:space="preserve">het sociaal-economisch veld</w:t>
            </w:r>
          </w:p>
          <w:p>
            <w:pPr>
              <w:pStyle w:val="ListParagraph"/>
              <w:numPr>
                <w:ilvl w:val="0"/>
                <w:numId w:val="20"/>
              </w:numPr>
            </w:pPr>
            <w:r>
              <w:rPr/>
              <w:t xml:space="preserve">het onderwijsveld</w:t>
            </w:r>
          </w:p>
          <w:p>
            <w:pPr>
              <w:pStyle w:val="ListParagraph"/>
              <w:numPr>
                <w:ilvl w:val="0"/>
                <w:numId w:val="20"/>
              </w:numPr>
            </w:pPr>
            <w:r>
              <w:rPr/>
              <w:t xml:space="preserve">het gezondheids- en welzijnsveld</w:t>
            </w:r>
          </w:p>
          <w:p>
            <w:pPr>
              <w:pStyle w:val="ListParagraph"/>
              <w:numPr>
                <w:ilvl w:val="0"/>
                <w:numId w:val="20"/>
              </w:numPr>
            </w:pPr>
            <w:r>
              <w:rPr/>
              <w:t xml:space="preserve">het levensbeschouwelijke veld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velden beschrijven en illustreren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3.3.2 armoede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deze begrippen over armoede: generatiearmoede, nieuwe armoede, primaire behoeften, armoedegrens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oorzaken van armoede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oorzaken beschrijven 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kringloop van armoede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kringloop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verklaringsmodellen voor armoede: individueel of maatschappelijk schuldmodel, individueel of maatschappelijk ongevalmodel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verklaringsmodellen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armoedecijfers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cijfers analyseren en veranderingen vaststellen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armoedebestrijding</w:t>
            </w:r>
          </w:p>
          <w:p>
            <w:pPr>
              <w:pStyle w:val="ListParagraph"/>
              <w:numPr>
                <w:ilvl w:val="0"/>
                <w:numId w:val="21"/>
              </w:numPr>
            </w:pPr>
            <w:r>
              <w:rPr/>
              <w:t xml:space="preserve">structurele armoedebestrijding door overheden of verenigingen</w:t>
            </w:r>
          </w:p>
          <w:p>
            <w:pPr>
              <w:pStyle w:val="ListParagraph"/>
              <w:numPr>
                <w:ilvl w:val="0"/>
                <w:numId w:val="21"/>
              </w:numPr>
            </w:pPr>
            <w:r>
              <w:rPr/>
              <w:t xml:space="preserve">caritatieve armoedebestrijding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van armoedebestrijding beschrijven,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kerntaken van het OCMW in de gemeente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kerntaken beschrijven, illustreren, toepassen en kritisch evalueren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3.3.3 solidariteit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solidariteit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herverdelingsprincipe in de sociale zekerheid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principe benoemen, illustreren,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solidariteitsprincipe in de sociale zekerheid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principe benoemen, illustreren,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deze begrippen van de sociale zekerheid: remgeld, leefloon, vervangingsinkomen (pensioen, kinderbijslag, ziekte-uitkering, werkloosheid)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illustreren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vormen van solidariteit</w:t>
            </w:r>
          </w:p>
          <w:p>
            <w:pPr>
              <w:pStyle w:val="ListParagraph"/>
              <w:numPr>
                <w:ilvl w:val="0"/>
                <w:numId w:val="22"/>
              </w:numPr>
            </w:pPr>
            <w:r>
              <w:rPr/>
              <w:t xml:space="preserve">formele en informele solidariteit</w:t>
            </w:r>
          </w:p>
          <w:p>
            <w:pPr>
              <w:pStyle w:val="ListParagraph"/>
              <w:numPr>
                <w:ilvl w:val="0"/>
                <w:numId w:val="22"/>
              </w:numPr>
            </w:pPr>
            <w:r>
              <w:rPr/>
              <w:t xml:space="preserve">solidariteit op micro- en op macroniveau</w:t>
            </w:r>
          </w:p>
          <w:p>
            <w:pPr>
              <w:pStyle w:val="ListParagraph"/>
              <w:numPr>
                <w:ilvl w:val="0"/>
                <w:numId w:val="22"/>
              </w:numPr>
            </w:pPr>
            <w:r>
              <w:rPr/>
              <w:t xml:space="preserve">unilaterale en bilaterale solidariteit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vormen van solidariteit benoemen, vergelijken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3.3.4 het JAC</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doel van het Jongeren Advies Centrum (JAC)</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doel beschrijven, toepassen, analyseren en beoordelen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3.4 Economisch veld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dit onderdeel moet je het economische veld kunnen beschrijven: je zal eerst een aantal economische begrippen moeten benoemen. Je zal cijfers over economische groei en koopkracht moeten analyseren. Deze cijfers worden steeds gegeven op het examen. Met het thema economische groei en economische systemen zal je de wisselwerking tussen het economische en het politieke veld moeten beschrijven.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3.4.1 basisbegrippen van de economie</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economische kringloop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kringloop beschrijven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individuele en collectieve behoeften</w:t>
              <w:br/>
              <w:t xml:space="preserve"/>
              <w:br/>
              <w:t xml:space="preserve"/>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behoeften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individuele en collectieve goederen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goederen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productiefactoren: grondstoffen, arbeid en kapitaal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factoren beschrijven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3.4.2 economische groei</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economische groei</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bbp (per capita) of bruto binnenlands product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 en toepassen</w:t>
              <w:br/>
              <w:t xml:space="preserve"/>
              <w:br/>
              <w:t xml:space="preserve">cijfers over het bbp vergelijken, analyseren en veranderingen vaststellen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koopkracht en productiviteit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en toepassen</w:t>
              <w:br/>
              <w:t xml:space="preserve"/>
              <w:br/>
              <w:t xml:space="preserve">cijfers over deze begrippen vergelijken en analyseren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factoren die in het economisch beleid bepalend zijn voor economische groei: arbeid, kapitaal en technologie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factoren beschrijven</w:t>
              <w:br/>
              <w:t xml:space="preserve"/>
              <w:br/>
              <w:t xml:space="preserve">de rol van deze factoren in het beleid beschrijven, illustreren, verklaren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begrippen in verband met arbeid: activiteitsgraad en werkgelegenheidsgraad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w:t>
              <w:br/>
              <w:t xml:space="preserve"/>
              <w:br/>
              <w:t xml:space="preserve">cijfers over deze begrippen vergelijken en analyseren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3.4.3 economische systemen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centraal geleide economie of planeconomie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economisch systeem beschrijven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vrijemarkteconomie of kapitalisme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economisch systeem beschrijven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kenmerken van de vrijemarkteconomie: vrije concurrentie, winststreven, individuele vrijheid, vraag en aanbod en privé-eigendom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kenmerken beschrijven en toepassen</w:t>
              <w:br/>
              <w:t xml:space="preserve"/>
              <w:br/>
              <w:t xml:space="preserve">voor- en nadelen van deze kenmerken beschrijven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gemengde economie of neokapitalisme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economisch systeem beschrijven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 overheid: allocatiefunctie, herverdelingsfunctie en stabilisatiefunctie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functies beschrijven, illustreren, vergelijken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werking van de Belgische overlegeconomie: sociaal overleg tussen vakbonden, werkgevers en overheid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werking beschrijven</w:t>
              <w:br/>
              <w:t xml:space="preserve"/>
              <w:br/>
              <w:t xml:space="preserve">de drie partners van het sociaal overleg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cao (collectieve arbeidsovereenkomst)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cao voluit schrijven</w:t>
              <w:br/>
              <w:t xml:space="preserve"/>
              <w:br/>
              <w:t xml:space="preserve">dit begrip benoemen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3.5 Levensbeschouwelijk veld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Voor dit onderdeel moet je het verschil tussen levensbeschouwing en religie kunnen beschrijven. Je zal de verschillende soorten levensbeschouwing moeten beschrijven en cijfers over de Belgische situatie analyseren. Deze cijfers worden steeds gegeven op het examen.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levensbeschouwing en religie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benoemen, illustreren en vergelijken</w:t>
              <w:br/>
              <w:t xml:space="preserve"/>
              <w:br/>
              <w:t xml:space="preserve">cijfers over levensbeschouwing en religie analyseren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drie monotheïstische godsdiensten: christendom, islam, jodendom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'monotheïsme’ benoemen</w:t>
              <w:br/>
              <w:t xml:space="preserve"/>
              <w:br/>
              <w:t xml:space="preserve">de drie monotheïstische godsdiensten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polytheïsme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'polytheïsme’ benoemen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vrijzinnigen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begrip atheïsme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benoemen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Expressie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dit onderdeel moet je in staat zijn om definities van kunst op te stellen en te vergelijken aan de hand van criteria. Je zal recensies over kunstwerken moeten vergelijken. Je moet waarden in kunstwerken herkennen. Er kunnen verschillende kunstdisciplines aan bod komen op het examen:. De voorbeelden komen uit verschillende historische periodes. Bij elk kunstwerk vermelden we de kunstenaar (in de mate van het mogelijke) en de periode waarin het kunstwerk tot stand kwam. Muziekfragmenten moet je beluisteren. Als er een vraag is over recensies, dan krijg je die recensies op het examen.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4.1 Waarden in kunstwerken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waarden in kunstwerken uit verschillende kunstdisciplines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warden beschrijven, illustreren, verklaren en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4.2 Definities van kunst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definities van kunst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definitie van kunst geven</w:t>
              <w:br/>
              <w:t xml:space="preserve"/>
              <w:br/>
              <w:t xml:space="preserve">definities van kunst vergelijken</w:t>
              <w:br/>
              <w:t xml:space="preserve"/>
              <w:br/>
              <w:t xml:space="preserve">verklaren waarom er geen eenduidige definitie van kunst 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kunstdisciplines: architectuur, beeldhouwkunst, dans, etnische kunst, film, fotografie, installatiekunst, literatuur, muziek, performance, poëzie, propagandakunst, schilderkunst en strips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disciplines illustreren met een concreet kunstwerk</w:t>
              <w:br/>
              <w:t xml:space="preserve"/>
              <w:br/>
              <w:t xml:space="preserve">recensies van kunstwerken uit deze disciplines vergelijken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deze criteria van kunst: originaliteit, emotionele lading, vakmanschap, economische waarde, esthetische waarde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criteria benoemen, illustreren, vergelijken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analyseschema van kunst: beleven, bestuderen, begrijpen, waarderen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schema toepassen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4.3 Beeldvorming in kunst</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beeldvorming over andere samenlevingen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hoe kunstwerken andere samenlevingen voorstellen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beeldvorming over samenlevingen in het verleden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hoe kunstwerken samenlevingen uit het verleden voorstellen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Beoordelingswijzer meningsvraag.pdf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120 minuten voor examens vanaf 01-05-2017 tot 31-12-2017</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cultuurwetenschappen 2aso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 en een balpen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-moet je het juiste antwoord aanduiden, slepen of invullen om punten te scoren;</w:t>
      </w:r>
    </w:p>
    <w:p>
      <w:pPr>
        <w:jc w:val="both"/>
      </w:pPr>
      <w:r>
        <w:t xml:space="preserve">-is het naargelang het vraagtype mogelijk om voor een gedeeltelijk juist antwoord punten te scoren;</w:t>
      </w:r>
    </w:p>
    <w:p>
      <w:pPr>
        <w:jc w:val="both"/>
      </w:pPr>
      <w:r>
        <w:t xml:space="preserve">-is er geen giscorrectie.</w:t>
      </w:r>
    </w:p>
    <w:p>
      <w:pPr>
        <w:jc w:val="both"/>
      </w:pPr>
      <w:r>
        <w:t xml:space="preserve"/>
      </w:r>
    </w:p>
    <w:p>
      <w:pPr>
        <w:jc w:val="both"/>
      </w:pPr>
      <w:r>
        <w:t xml:space="preserve">Voor de open vragen bekijken de correctoren of je antwoord:</w:t>
      </w:r>
    </w:p>
    <w:p>
      <w:pPr>
        <w:jc w:val="both"/>
      </w:pPr>
      <w:r>
        <w:t xml:space="preserve">-een volledig en duidelijk antwoord is op de vraag;</w:t>
      </w:r>
    </w:p>
    <w:p>
      <w:pPr>
        <w:jc w:val="both"/>
      </w:pPr>
      <w:r>
        <w:t xml:space="preserve">-ondubbelzinnig is;</w:t>
      </w:r>
    </w:p>
    <w:p>
      <w:pPr>
        <w:jc w:val="both"/>
      </w:pPr>
      <w:r>
        <w:t xml:space="preserve">-duidelijk gestructureerd is.</w:t>
      </w:r>
    </w:p>
    <w:p>
      <w:pPr>
        <w:jc w:val="both"/>
      </w:pPr>
      <w:r>
        <w:t xml:space="preserve">Soms kan je ook voor een gedeeltelijk juist antwoord punten scoren.</w:t>
      </w:r>
    </w:p>
    <w:p>
      <w:pPr>
        <w:jc w:val="both"/>
      </w:pPr>
      <w:r>
        <w:t xml:space="preserve"/>
      </w:r>
    </w:p>
    <w:p>
      <w:pPr>
        <w:jc w:val="both"/>
      </w:pPr>
      <w:r>
        <w:t xml:space="preserve">Voor de vragen die peilen naar een eigen mening word je beoordeeld volgens de criteria in de bijlage.</w:t>
      </w:r>
    </w:p>
    <w:p>
      <w:pPr>
        <w:jc w:val="both"/>
      </w:pPr>
      <w:r>
        <w:t xml:space="preserve"/>
      </w:r>
    </w:p>
    <w:p>
      <w:pPr>
        <w:jc w:val="both"/>
      </w:pPr>
      <w:r>
        <w:t xml:space="preserve">We houden geen rekening met taalfouten.</w:t>
      </w:r>
    </w:p>
    <w:p>
      <w:pPr>
        <w:jc w:val="both"/>
      </w:pPr>
      <w:r>
        <w:t xml:space="preserve"/>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Communicatie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Denken over mens en samenleving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Organisatie en wisselwerking</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40%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Expressie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  </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Code 3</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Socius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Averbode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www.averbode.be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website je helpen?</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www.cim.be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Alleen voor de component 'communicatie' om cijfers over het medialandschap te bekijken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www.yep-online.be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Artikels op jongerenmaat over de actualiteit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www.armoedecijfers.be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Alleen voor de component 'Organisatie en wisselwerking', om cijfers over armoede te bekijken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