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natuurwetenschappen 3 kso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2018 tot en met 31 december  2018</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Leerplannen VVKSO en GO!</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In deze vakfiche vind je een combinatie van leerinhouden en leerdoelen. De linkse kolom bevat kernwoorden, de rechtse kolom geeft  informatie over  de inhouden, doelen en beheersingsniveau 's.</w:t>
      </w:r>
    </w:p>
    <w:p>
      <w:r>
        <w:rPr/>
        <w:t xml:space="preserve"> </w:t>
      </w:r>
    </w:p>
    <w:p>
      <w:r>
        <w:rPr/>
        <w:t xml:space="preserve"/>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HET MENSELIJK LICHAAM</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KOOLSTOFCHEMIE (BASIS)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MATERIALEN EN PRODUCTEN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GELUID &amp; LICHT EN KLEUR</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HET MENSELIJK LICHAAM</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Voortplanting</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Celorganellen: celkern, celmembraan, celwand, cytoplasma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basisstructuur van de cel </w:t>
            </w:r>
            <w:r>
              <w:rPr>
                <w:b/>
              </w:rPr>
              <w:t xml:space="preserve">weergeven</w:t>
            </w:r>
            <w:r>
              <w:rPr/>
              <w:t xml:space="preserve">, delen </w:t>
            </w:r>
            <w:r>
              <w:rPr>
                <w:b/>
              </w:rPr>
              <w:t xml:space="preserve">benoemen</w:t>
            </w:r>
            <w:r>
              <w:rPr/>
              <w:t xml:space="preserve"> en hun functies verwoorden en </w:t>
            </w:r>
            <w:r>
              <w:rPr>
                <w:b/>
              </w:rPr>
              <w:t xml:space="preserve">verklaren</w:t>
            </w:r>
            <w:r>
              <w:rPr/>
              <w:t xml:space="preserve">.</w:t>
              <w:br/>
              <w:t xml:space="preserve"/>
              <w:br/>
              <w:t xml:space="preserve">Belangrijkste begrippen: celorganellen, celkern, celmembraan, celwand, cytoplasma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Chromosoom – gen – genoom - DNA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b/>
              </w:rPr>
              <w:t xml:space="preserve">Aangeven</w:t>
            </w:r>
            <w:r>
              <w:rPr/>
              <w:t xml:space="preserve"> dat de chromosomen alle erfelijke informatie dragen die opgeslagen is in DNA.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Celdeling; Replicatie van DNA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gegeven schema van de mitose </w:t>
            </w:r>
            <w:r>
              <w:rPr>
                <w:b/>
              </w:rPr>
              <w:t xml:space="preserve">verklaren</w:t>
            </w:r>
            <w:r>
              <w:rPr/>
              <w:t xml:space="preserve"> dat erfelijke informatie wordt doorgegeven.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Mitose en meiose. Geslachtelijke en ongeslachtelijke voortplanting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Essentiële verschillen tussen mitose en meiose </w:t>
            </w:r>
            <w:r>
              <w:rPr>
                <w:b/>
              </w:rPr>
              <w:t xml:space="preserve">verwoorden</w:t>
            </w:r>
            <w:r>
              <w:rPr/>
              <w:t xml:space="preserve">. In concrete situaties </w:t>
            </w:r>
            <w:r>
              <w:rPr>
                <w:b/>
              </w:rPr>
              <w:t xml:space="preserve">herkennen</w:t>
            </w:r>
            <w:r>
              <w:rPr/>
              <w:t xml:space="preserve"> welke celdeling (mitose of meiose) er plaatsvindt.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Voortplantingsorganen bij man en vrouw</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gegeven figuur de bouw en de functie van de voortplantingsorganen bij man en vrouw </w:t>
            </w:r>
            <w:r>
              <w:rPr>
                <w:b/>
              </w:rPr>
              <w:t xml:space="preserve">benoemen en weergeven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b/>
              </w:rPr>
              <w:t xml:space="preserve">Aantonen</w:t>
            </w:r>
            <w:r>
              <w:rPr/>
              <w:t xml:space="preserve"> dat hormonen onmisbare regulerende stoffen zijn.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Menstruatiecyclus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menstruatiecyclus </w:t>
            </w:r>
            <w:r>
              <w:rPr>
                <w:b/>
              </w:rPr>
              <w:t xml:space="preserve">beschrijven en verklaren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Coïtus. Bevruchting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coïtus en de bevruchting </w:t>
            </w:r>
            <w:r>
              <w:rPr>
                <w:b/>
              </w:rPr>
              <w:t xml:space="preserve">beschrijven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Innesteling - embryonale en foetale fase –geboorteproces – lactatieperiode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ontwikkeling van bevruchte eicel tot baby in verschillende fasen </w:t>
            </w:r>
            <w:r>
              <w:rPr>
                <w:b/>
              </w:rPr>
              <w:t xml:space="preserve">omschrijven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Hormonale en niet-hormonale methodes. Interceptie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methoden (hormonale en niet-hormonale) om de voortplanting te regelen </w:t>
            </w:r>
            <w:r>
              <w:rPr>
                <w:b/>
              </w:rPr>
              <w:t xml:space="preserve">beschrijven</w:t>
            </w:r>
            <w:r>
              <w:rPr/>
              <w:t xml:space="preserve"> en de voor- en nadelen kunnen </w:t>
            </w:r>
            <w:r>
              <w:rPr>
                <w:b/>
              </w:rPr>
              <w:t xml:space="preserve">opnoemen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Veilig vrijen. Veilig handelen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Voorzorgsmaatregelen om SOA’s te vermijden </w:t>
            </w:r>
            <w:r>
              <w:rPr>
                <w:b/>
              </w:rPr>
              <w:t xml:space="preserve">beschrijven</w:t>
            </w: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Erfelijkheid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Van alle onderstaande begrippen de nodige vraagstukken en oefeningen kunnen oplossen.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Mendelwetten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gegeven resultaten van kruisingen de Mendel¬wetten </w:t>
            </w:r>
            <w:r>
              <w:rPr>
                <w:b/>
              </w:rPr>
              <w:t xml:space="preserve">afleiden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Mono- en dihybride kruisingen: kruisingsschema's</w:t>
              <w:br/>
              <w:t xml:space="preserve"/>
              <w:br/>
              <w:t xml:space="preserve">Genotype, fenotype, dominant, recessief, intermediair of codominantie, allel, homozygoot, heterozygoot, variabiliteit</w:t>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Mono- en dihybride kruisingen </w:t>
            </w:r>
            <w:r>
              <w:rPr>
                <w:b/>
              </w:rPr>
              <w:t xml:space="preserve">voorstellen</w:t>
            </w:r>
            <w:r>
              <w:rPr/>
              <w:t xml:space="preserve">, </w:t>
            </w:r>
            <w:r>
              <w:rPr>
                <w:b/>
              </w:rPr>
              <w:t xml:space="preserve">uitwerken</w:t>
            </w:r>
            <w:r>
              <w:rPr/>
              <w:t xml:space="preserve"> en de resultaten </w:t>
            </w:r>
            <w:r>
              <w:rPr>
                <w:b/>
              </w:rPr>
              <w:t xml:space="preserve">interpreteren</w:t>
            </w:r>
            <w:r>
              <w:rPr/>
              <w:t xml:space="preserve">.</w:t>
              <w:br/>
              <w:t xml:space="preserve"/>
              <w:br/>
              <w:t xml:space="preserve">Genotype, fenotype, dominant, recessief, intermediair of codominantie, allel, homozygoot, heterozygoot, variabiliteit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overerving bij multiple allelen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het ABO-bloedgroepsysteem het begrip multiple allelen </w:t>
            </w:r>
            <w:r>
              <w:rPr>
                <w:b/>
              </w:rPr>
              <w:t xml:space="preserve">omschrijven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X-Y-chromosomen – Karyogrammen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geslacht van de mens </w:t>
            </w:r>
            <w:r>
              <w:rPr>
                <w:b/>
              </w:rPr>
              <w:t xml:space="preserve">verklaren</w:t>
            </w:r>
            <w:r>
              <w:rPr/>
              <w:t xml:space="preserve"> aan de hand van de X-Y-chromosomen. Karyogrammen.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Geslachtsgebonden erfelijkheid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concrete voorbeelden het begrip geslachtsgebonden erfelijkheid </w:t>
            </w:r>
            <w:r>
              <w:rPr>
                <w:b/>
              </w:rPr>
              <w:t xml:space="preserve">omschrijven</w:t>
            </w:r>
            <w:r>
              <w:rPr/>
              <w:t xml:space="preserve"> en </w:t>
            </w:r>
            <w:r>
              <w:rPr>
                <w:b/>
              </w:rPr>
              <w:t xml:space="preserve">verklaren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Eiwitten: vertaling van erfelijke informatie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link tussen erfelijke informatie en eiwitten </w:t>
            </w:r>
            <w:r>
              <w:rPr>
                <w:b/>
              </w:rPr>
              <w:t xml:space="preserve">verklaren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Modificatie/Mutatie.</w:t>
              <w:br/>
              <w:t xml:space="preserve"/>
              <w:br/>
              <w:t xml:space="preserve">Genmutatie, chromosoommutatie, genoommutatie. Oorzaken en gevolgen van mutatie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Modificatie en mutatie </w:t>
            </w:r>
            <w:r>
              <w:rPr>
                <w:b/>
              </w:rPr>
              <w:t xml:space="preserve">onderscheiden</w:t>
            </w:r>
            <w:r>
              <w:rPr/>
              <w:t xml:space="preserve"> </w:t>
            </w:r>
            <w:r>
              <w:rPr>
                <w:b/>
              </w:rPr>
              <w:t xml:space="preserve">en aantonen</w:t>
            </w:r>
            <w:r>
              <w:rPr/>
              <w:t xml:space="preserve"> dat dit onderscheidgevolgen kan hebben.</w:t>
              <w:br/>
              <w:t xml:space="preserve"/>
              <w:br/>
              <w:t xml:space="preserve">Genmutatie, chromosoommutatie, genoommutatie.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KOOLSTOFCHEMIE (BASIS)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Van alle onderstaande begrippen de nodige vraagstukken en oefeningen kunnen oplossen.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Bindingsmogelijkheden van het C-atoom</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bindingsmogelijkheden van het koolstofatoom in </w:t>
            </w:r>
            <w:r>
              <w:rPr>
                <w:b/>
              </w:rPr>
              <w:t xml:space="preserve">relatie brengen</w:t>
            </w:r>
            <w:r>
              <w:rPr/>
              <w:t xml:space="preserve"> met de elektronenconfiguratie</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Molecuulstructuur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Koolstofverbindingen </w:t>
            </w:r>
            <w:r>
              <w:rPr>
                <w:b/>
              </w:rPr>
              <w:t xml:space="preserve">onderscheiden</w:t>
            </w:r>
            <w:r>
              <w:rPr/>
              <w:t xml:space="preserve"> uitgaande van hun molecuulstructuur:</w:t>
              <w:br/>
              <w:t xml:space="preserve"/>
              <w:br/>
              <w:t xml:space="preserve"/>
            </w:r>
          </w:p>
          <w:p>
            <w:pPr>
              <w:pStyle w:val="ListParagraph"/>
              <w:numPr>
                <w:ilvl w:val="0"/>
                <w:numId w:val="8"/>
              </w:numPr>
            </w:pPr>
            <w:r>
              <w:rPr/>
              <w:t xml:space="preserve">koolwaterstoffen: alkanen, alkenen;</w:t>
            </w:r>
          </w:p>
          <w:p>
            <w:pPr>
              <w:pStyle w:val="ListParagraph"/>
              <w:numPr>
                <w:ilvl w:val="0"/>
                <w:numId w:val="8"/>
              </w:numPr>
            </w:pPr>
            <w:r>
              <w:rPr/>
              <w:t xml:space="preserve">onvertakte / vertakte;</w:t>
            </w:r>
          </w:p>
          <w:p>
            <w:pPr>
              <w:pStyle w:val="ListParagraph"/>
              <w:numPr>
                <w:ilvl w:val="0"/>
                <w:numId w:val="8"/>
              </w:numPr>
            </w:pPr>
            <w:r>
              <w:rPr/>
              <w:t xml:space="preserve">verzadigde / onverzadigde;</w:t>
            </w:r>
          </w:p>
          <w:p>
            <w:pPr>
              <w:pStyle w:val="ListParagraph"/>
              <w:numPr>
                <w:ilvl w:val="0"/>
                <w:numId w:val="8"/>
              </w:numPr>
            </w:pPr>
            <w:r>
              <w:rPr/>
              <w:t xml:space="preserve">acyclische / cyclische.</w:t>
            </w:r>
          </w:p>
          <w:p>
            <w:pPr>
              <w:pStyle w:val="ListParagraph"/>
              <w:numPr>
                <w:ilvl w:val="0"/>
                <w:numId w:val="8"/>
              </w:numPr>
            </w:pPr>
            <w:r>
              <w:rPr/>
              <w:t xml:space="preserve">aromatische.</w:t>
            </w:r>
          </w:p>
          <w:p>
            <w:r>
              <w:rP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Functionele groep en stofklasse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functionele groep(en) </w:t>
            </w:r>
            <w:r>
              <w:rPr>
                <w:b/>
              </w:rPr>
              <w:t xml:space="preserve">aanduiden</w:t>
            </w:r>
            <w:r>
              <w:rPr/>
              <w:t xml:space="preserve"> en de stofklasse </w:t>
            </w:r>
            <w:r>
              <w:rPr>
                <w:b/>
              </w:rPr>
              <w:t xml:space="preserve">weergeven</w:t>
            </w:r>
            <w:r>
              <w:rPr/>
              <w:t xml:space="preserve"> bij gegeven structuurformules van alcoholen, ethers, aldehyden en ketonen, carbonzuren.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Isomeren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b/>
              </w:rPr>
              <w:t xml:space="preserve">Inzien</w:t>
            </w:r>
            <w:r>
              <w:rPr/>
              <w:t xml:space="preserve"> dat meerdere stoffen dezelfde brutoformule kunnen hebben.</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Koolstofverbindingen in het dagelijks leven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belangrijke eigenschappen en toepassingen van koolstofverbindingen  in het dagelijks leven </w:t>
            </w:r>
            <w:r>
              <w:rPr>
                <w:b/>
              </w:rPr>
              <w:t xml:space="preserve">geven</w:t>
            </w:r>
            <w:r>
              <w:rPr/>
              <w:t xml:space="preserve">.</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Van alle bovenstaande begrippen de nodige vraagstukken en oefeningen kunnen oplossen.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MATERIALEN EN PRODUCTEN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Onderzoek van materialen en producten.</w:t>
              <w:br/>
              <w:t xml:space="preserve"/>
              <w:br/>
              <w:t xml:space="preserve">Een eenvoudig verklaringsmodel hanteren om bepaalde eigenschappen te 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Mogelijke materialen voor onderzoek:</w:t>
              <w:br/>
              <w:t xml:space="preserve"/>
              <w:br/>
              <w:t xml:space="preserve"/>
            </w:r>
          </w:p>
          <w:p>
            <w:pPr>
              <w:pStyle w:val="ListParagraph"/>
              <w:numPr>
                <w:ilvl w:val="0"/>
                <w:numId w:val="9"/>
              </w:numPr>
            </w:pPr>
            <w:r>
              <w:rPr/>
              <w:t xml:space="preserve">Verven en vernissen</w:t>
            </w:r>
          </w:p>
          <w:p>
            <w:pPr>
              <w:pStyle w:val="ListParagraph"/>
              <w:numPr>
                <w:ilvl w:val="0"/>
                <w:numId w:val="9"/>
              </w:numPr>
            </w:pPr>
            <w:r>
              <w:rPr/>
              <w:t xml:space="preserve">Hechtingsmiddelen</w:t>
            </w:r>
          </w:p>
          <w:p>
            <w:pPr>
              <w:pStyle w:val="ListParagraph"/>
              <w:numPr>
                <w:ilvl w:val="0"/>
                <w:numId w:val="9"/>
              </w:numPr>
            </w:pPr>
            <w:r>
              <w:rPr/>
              <w:t xml:space="preserve">Kunststoffen: thermoplasten en thermoharders</w:t>
            </w:r>
          </w:p>
          <w:p>
            <w:pPr>
              <w:pStyle w:val="ListParagraph"/>
              <w:numPr>
                <w:ilvl w:val="0"/>
                <w:numId w:val="9"/>
              </w:numPr>
            </w:pPr>
            <w:r>
              <w:rPr/>
              <w:t xml:space="preserve">Constructiematerialen: beton, metalen, gips, klei, brons</w:t>
              <w:br/>
              <w:t xml:space="preserve"> </w:t>
            </w:r>
          </w:p>
          <w:p>
            <w:r>
              <w:rPr/>
              <w:t xml:space="preserve">Naargelang de gegeven resultaten van het onderzoek kunnen volgende begrippen of verklaringsmodellen gevraagd worden:</w:t>
            </w:r>
          </w:p>
          <w:p>
            <w:pPr>
              <w:pStyle w:val="ListParagraph"/>
              <w:numPr>
                <w:ilvl w:val="0"/>
                <w:numId w:val="10"/>
              </w:numPr>
            </w:pPr>
            <w:r>
              <w:rPr/>
              <w:t xml:space="preserve">wateroplosbaar en niet - wateroplosbaar (verven en vernissen)</w:t>
            </w:r>
          </w:p>
          <w:p>
            <w:pPr>
              <w:pStyle w:val="ListParagraph"/>
              <w:numPr>
                <w:ilvl w:val="0"/>
                <w:numId w:val="10"/>
              </w:numPr>
            </w:pPr>
            <w:r>
              <w:rPr/>
              <w:t xml:space="preserve">cohesie en adhesie (lijmen)</w:t>
            </w:r>
          </w:p>
          <w:p>
            <w:pPr>
              <w:pStyle w:val="ListParagraph"/>
              <w:numPr>
                <w:ilvl w:val="0"/>
                <w:numId w:val="10"/>
              </w:numPr>
            </w:pPr>
            <w:r>
              <w:rPr/>
              <w:t xml:space="preserve">draadmoleculen (thermoplasten) en vernetting (thermoharders, polyesters)</w:t>
            </w:r>
          </w:p>
          <w:p>
            <w:pPr>
              <w:pStyle w:val="ListParagraph"/>
              <w:numPr>
                <w:ilvl w:val="0"/>
                <w:numId w:val="10"/>
              </w:numPr>
            </w:pPr>
            <w:r>
              <w:rPr/>
              <w:t xml:space="preserve">uitharden (gips, lijmen, beton, polyesters)</w:t>
            </w:r>
          </w:p>
          <w:p>
            <w:pPr>
              <w:pStyle w:val="ListParagraph"/>
              <w:numPr>
                <w:ilvl w:val="0"/>
                <w:numId w:val="10"/>
              </w:numPr>
            </w:pPr>
            <w:r>
              <w:rPr/>
              <w:t xml:space="preserve">metalen en legeringen (lassen, solderen, etsen)</w:t>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Van alle bovenstaande begrippen de nodige vraagstukken en oefeningen kunnen oplossen.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GELUID &amp; LICHT EN KLEUR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Van alle onderstaande begrippen de nodige vraagstukken en oefeningen kunnen oplossen.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4.1 Geluid</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Longitudinale en transversale golven. Mechanische en elektromagnetische golven.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verschillende soorten golven</w:t>
            </w:r>
            <w:r>
              <w:rPr>
                <w:b/>
              </w:rPr>
              <w:t xml:space="preserve"> herkennen</w:t>
            </w:r>
            <w:r>
              <w:rPr/>
              <w:t xml:space="preserve"> in concrete gevallen.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Geluidsbron. Geluidsgolf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en de voortplanting van geluid </w:t>
            </w:r>
            <w:r>
              <w:rPr>
                <w:b/>
              </w:rPr>
              <w:t xml:space="preserve">toelichten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Golflengte, frequentie</w:t>
              <w:br/>
              <w:t xml:space="preserve"/>
              <w:br/>
              <w:t xml:space="preserve">Geluidssnelheid (zie formule)</w:t>
              <w:br/>
              <w:t xml:space="preserve">Toonhoogte, toonsterkte en toonklank</w:t>
              <w:br/>
              <w:t xml:space="preserve"/>
              <w:br/>
              <w:t xml:space="preserve"> </w:t>
            </w:r>
          </w:p>
          <w:p>
            <w:r>
              <w:rPr/>
              <w:t xml:space="preserve"/>
            </w:r>
            <w:r w:rsidRPr="005024DD">
              <w:t/>
              <w:drawing>
                <wp:inline distT="0" distB="0" distL="0" distR="0">
                  <wp:extent cx="447675"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image_rid11.png"/>
                          <pic:cNvPicPr/>
                        </pic:nvPicPr>
                        <pic:blipFill>
                          <a:blip r:embed="rId11">
                            <a:extLst>
                              <a:ext uri="{28A0092B-C50C-407E-A947-70E740481C1C}">
                                <a14:useLocalDpi xmlns:a14="http://schemas.microsoft.com/office/drawing/2010/main" val="0"/>
                              </a:ext>
                            </a:extLst>
                          </a:blip>
                          <a:stretch>
                            <a:fillRect/>
                          </a:stretch>
                        </pic:blipFill>
                        <pic:spPr>
                          <a:xfrm>
                            <a:off x="0" y="0"/>
                            <a:ext cx="447675" cy="190500"/>
                          </a:xfrm>
                          <a:prstGeom prst="rect">
                            <a:avLst/>
                          </a:prstGeom>
                        </pic:spPr>
                      </pic:pic>
                    </a:graphicData>
                  </a:graphic>
                </wp:inline>
              </w:drawing>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geluidsgolf </w:t>
            </w:r>
            <w:r>
              <w:rPr>
                <w:b/>
              </w:rPr>
              <w:t xml:space="preserve">toelichten</w:t>
            </w:r>
            <w:r>
              <w:rPr/>
              <w:t xml:space="preserve">. Golflengte, frequentie. Geluidssnelheid (zie formule). Toonhoogte, toonsterkte en toonklank</w:t>
              <w:br/>
              <w:t xml:space="preserve"/>
              <w:br/>
              <w:t xml:space="preserve"> </w:t>
            </w:r>
          </w:p>
          <w:p>
            <w:r>
              <w:rPr/>
              <w:t xml:space="preserve"/>
              <w:drawing>
                <wp:inline distT="0" distB="0" distL="0" distR="0">
                  <wp:extent cx="447675" cy="1905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image_rid12.png"/>
                          <pic:cNvPicPr/>
                        </pic:nvPicPr>
                        <pic:blipFill>
                          <a:blip r:embed="rId12">
                            <a:extLst>
                              <a:ext uri="{28A0092B-C50C-407E-A947-70E740481C1C}">
                                <a14:useLocalDpi xmlns:a14="http://schemas.microsoft.com/office/drawing/2010/main" val="0"/>
                              </a:ext>
                            </a:extLst>
                          </a:blip>
                          <a:stretch>
                            <a:fillRect/>
                          </a:stretch>
                        </pic:blipFill>
                        <pic:spPr>
                          <a:xfrm>
                            <a:off x="0" y="0"/>
                            <a:ext cx="447675" cy="190500"/>
                          </a:xfrm>
                          <a:prstGeom prst="rect">
                            <a:avLst/>
                          </a:prstGeom>
                        </pic:spPr>
                      </pic:pic>
                    </a:graphicData>
                  </a:graphic>
                </wp:inline>
              </w:drawing>
              <w:t/>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Toepassingen van geluidsgolven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toepassingen van geluidsgolven </w:t>
            </w:r>
            <w:r>
              <w:rPr>
                <w:b/>
              </w:rPr>
              <w:t xml:space="preserve">weergeven en omschrijven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Resonantie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resultaten van waarnemingen het begrip resonantie </w:t>
            </w:r>
            <w:r>
              <w:rPr>
                <w:b/>
              </w:rPr>
              <w:t xml:space="preserve">toelichten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Zwevingen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resultaten van waarnemingen zwevingen </w:t>
            </w:r>
            <w:r>
              <w:rPr>
                <w:b/>
              </w:rPr>
              <w:t xml:space="preserve">aantonen</w:t>
            </w:r>
            <w:r>
              <w:rPr/>
              <w:t xml:space="preserv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4.2 Licht en kleur</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Atoommodel van Bohr: absorptie en spontane emissie, stralingsbron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ontstaan van licht en EM-straling </w:t>
            </w:r>
            <w:r>
              <w:rPr>
                <w:b/>
              </w:rPr>
              <w:t xml:space="preserve">beschrijven</w:t>
            </w:r>
            <w:r>
              <w:rPr/>
              <w:t xml:space="preserve"> gebruik makend van het atoommodel van Bohr.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Golflengte, frequentie, kleur, wit licht, lichtsnelheid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kenmerken van de EM-golf zoals golflengte, frequentie, kleur, wit licht, lichtsnelheid </w:t>
            </w:r>
            <w:r>
              <w:rPr>
                <w:b/>
              </w:rPr>
              <w:t xml:space="preserve">toelichten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EM-spectrum: zichtbaar licht, röntgen (X-stralen), UV, IR, microgolven, radiogolven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Enkele soorten golven zoals zichtbaar licht, röntgen (X-stralen), UV, IR, microgolven, radiogolven, in het EM-spectrum </w:t>
            </w:r>
            <w:r>
              <w:rPr>
                <w:b/>
              </w:rPr>
              <w:t xml:space="preserve">situeren</w:t>
            </w:r>
            <w:r>
              <w:rPr/>
              <w:t xml:space="preserve"> en enkele belangrijke toepassingen </w:t>
            </w:r>
            <w:r>
              <w:rPr>
                <w:b/>
              </w:rPr>
              <w:t xml:space="preserve">opnoemen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Interferentie, breking, buiging terugkaatsing bij licht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resultaten van waarnemingen golfeigenschappen bij licht </w:t>
            </w:r>
            <w:r>
              <w:rPr>
                <w:b/>
              </w:rPr>
              <w:t xml:space="preserve">toelichten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Polarisatie. Polarisatiefilter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verschijnsel polarisatie </w:t>
            </w:r>
            <w:r>
              <w:rPr>
                <w:b/>
              </w:rPr>
              <w:t xml:space="preserve">verklaren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Additieven en subtractieve kleurmenging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b/>
              </w:rPr>
              <w:t xml:space="preserve">Verklaren</w:t>
            </w:r>
            <w:r>
              <w:rPr/>
              <w:t xml:space="preserve"> waarom voorwerpen een bepaalde kleur vertonen.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4.3 Trillingen en golven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Onderscheid tussen een willekeurige trilling en een harmonische trilling.</w:t>
              <w:br/>
              <w:t xml:space="preserve">Periode, frequentie, fase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formule voor de uitwijking van een harmonische trilling </w:t>
            </w:r>
            <w:r>
              <w:rPr>
                <w:b/>
              </w:rPr>
              <w:t xml:space="preserve">interpreteren</w:t>
            </w:r>
            <w:r>
              <w:rPr/>
              <w:t xml:space="preserve">.  </w:t>
              <w:br/>
              <w:t xml:space="preserve"/>
              <w:br/>
              <w:t xml:space="preserve"/>
            </w:r>
            <w:r>
              <w:rPr>
                <w:b/>
              </w:rPr>
              <w:t xml:space="preserve">Onderscheid</w:t>
            </w:r>
            <w:r>
              <w:rPr/>
              <w:t xml:space="preserve"> tussen een willekeurige trilling en een harmonische trilling.</w:t>
              <w:br/>
              <w:t xml:space="preserve"/>
              <w:br/>
              <w:t xml:space="preserve">Periode, frequentie, fase: begrippen </w:t>
            </w:r>
            <w:r>
              <w:rPr>
                <w:b/>
              </w:rPr>
              <w:t xml:space="preserve">herkennen 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Grafische voorstelling harmonische trilling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uitwijking bij een harmonische trilling in een y(t)-diagram </w:t>
            </w:r>
            <w:r>
              <w:rPr>
                <w:b/>
              </w:rPr>
              <w:t xml:space="preserve">voorstellen en interpreteren</w:t>
            </w:r>
            <w:r>
              <w:rPr/>
              <w:t xml:space="preserv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golfverschijnsel</w:t>
              <w:br/>
              <w:t xml:space="preserve">Trillingen: frequentie, periode</w:t>
              <w:br/>
              <w:t xml:space="preserve">Golven: golflengte, golfsnelheid (zie formule)</w:t>
              <w:br/>
              <w:t xml:space="preserve"/>
              <w:br/>
              <w:t xml:space="preserve"> </w:t>
            </w:r>
          </w:p>
          <w:p>
            <w:r>
              <w:rPr/>
              <w:t xml:space="preserve"/>
            </w:r>
            <w:r w:rsidRPr="005024DD">
              <w:t/>
              <w:drawing>
                <wp:inline distT="0" distB="0" distL="0" distR="0">
                  <wp:extent cx="447675" cy="190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image_rid13.png"/>
                          <pic:cNvPicPr/>
                        </pic:nvPicPr>
                        <pic:blipFill>
                          <a:blip r:embed="rId13">
                            <a:extLst>
                              <a:ext uri="{28A0092B-C50C-407E-A947-70E740481C1C}">
                                <a14:useLocalDpi xmlns:a14="http://schemas.microsoft.com/office/drawing/2010/main" val="0"/>
                              </a:ext>
                            </a:extLst>
                          </a:blip>
                          <a:stretch>
                            <a:fillRect/>
                          </a:stretch>
                        </pic:blipFill>
                        <pic:spPr>
                          <a:xfrm>
                            <a:off x="0" y="0"/>
                            <a:ext cx="447675" cy="190500"/>
                          </a:xfrm>
                          <a:prstGeom prst="rect">
                            <a:avLst/>
                          </a:prstGeom>
                        </pic:spPr>
                      </pic:pic>
                    </a:graphicData>
                  </a:graphic>
                </wp:inline>
              </w:drawing>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een trilling en een golf toelichten.</w:t>
              <w:br/>
              <w:t xml:space="preserve"/>
              <w:br/>
              <w:t xml:space="preserve">Het golfverschijnsel.Trillingen: frequentie, periode. Golven: golflengte, golfsnelheid (zie formule)</w:t>
              <w:br/>
              <w:t xml:space="preserve"/>
              <w:br/>
              <w:t xml:space="preserve"> </w:t>
              <w:br/>
              <w:t xml:space="preserve"/>
              <w:br/>
              <w:t xml:space="preserve"> </w:t>
            </w:r>
          </w:p>
          <w:p>
            <w:r>
              <w:rPr/>
              <w:t xml:space="preserve"/>
              <w:drawing>
                <wp:inline distT="0" distB="0" distL="0" distR="0">
                  <wp:extent cx="447675" cy="1905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a/image_rid14.png"/>
                          <pic:cNvPicPr/>
                        </pic:nvPicPr>
                        <pic:blipFill>
                          <a:blip r:embed="rId14">
                            <a:extLst>
                              <a:ext uri="{28A0092B-C50C-407E-A947-70E740481C1C}">
                                <a14:useLocalDpi xmlns:a14="http://schemas.microsoft.com/office/drawing/2010/main" val="0"/>
                              </a:ext>
                            </a:extLst>
                          </a:blip>
                          <a:stretch>
                            <a:fillRect/>
                          </a:stretch>
                        </pic:blipFill>
                        <pic:spPr>
                          <a:xfrm>
                            <a:off x="0" y="0"/>
                            <a:ext cx="447675" cy="190500"/>
                          </a:xfrm>
                          <a:prstGeom prst="rect">
                            <a:avLst/>
                          </a:prstGeom>
                        </pic:spPr>
                      </pic:pic>
                    </a:graphicData>
                  </a:graphic>
                </wp:inline>
              </w:drawing>
              <w:t/>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Beginsel van Huygens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golffront en golfstraal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Buiging, terugkaatsing, breking, interferentie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b/>
              </w:rPr>
              <w:t xml:space="preserve">﻿</w:t>
            </w:r>
            <w:r>
              <w:rPr/>
              <w:t xml:space="preserve">Uit resultaten van experimentele waarnemingen de eigenschappen van lopende golven </w:t>
            </w:r>
            <w:r>
              <w:rPr>
                <w:b/>
              </w:rPr>
              <w:t xml:space="preserve">toelichten</w:t>
            </w:r>
            <w:r>
              <w:rPr/>
              <w:t xml:space="preserve">. Belangrijkste begrippen: Buiging, terugkaatsing, breking, interferentie.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Wetenschap en samenleving kan bevraagd worden door gebruik te maken van de leerinhouden zoals supra beschreven in de vakfiche.</w:t>
      </w:r>
    </w:p>
    <w:p>
      <w:r>
        <w:rPr/>
        <w:t xml:space="preserve"/>
      </w:r>
      <w:r w:rsidR="002A7EF2" w:rsidRPr="002140C7">
        <w:t xml:space="preserve"> </w:t>
      </w:r>
      <w:r w:rsidR="002A7EF2" w:rsidRPr="00F75E66">
        <w:rPr>
          <w:color w:val="00B050"/>
        </w:rPr>
        <w:t/>
      </w:r>
      <w:r w:rsidR="006C1D29"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Bijlagen_NAT3K.pdf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natuurwetenschappen 3de graad KSO is een digitaal examen. </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 </w:t>
      </w:r>
    </w:p>
    <w:p>
      <w:pPr>
        <w:jc w:val="both"/>
      </w:pPr>
      <w:r>
        <w:t xml:space="preserve">Er is een eenvoudige rekenmachine beschikbaar op het examen (op de computer). Een grafisch rekentoestel is niet toegelaten.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een balpen</w:t>
      </w:r>
    </w:p>
    <w:p>
      <w:pPr>
        <w:jc w:val="both"/>
      </w:pPr>
      <w:r>
        <w:t xml:space="preserve">kladpapier</w:t>
      </w:r>
    </w:p>
    <w:p>
      <w:pPr>
        <w:jc w:val="both"/>
      </w:pPr>
      <w:r>
        <w:t xml:space="preserve">de formularia die je vindt als bijlagen in de vakfiche.</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deze vraagtypes kan uitproberen. Uiteraard is dit geen echt examen: de bedoeling is dat je de techniek van de digitale vraagtypes in de vingers krijgt.</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w:t>
      </w:r>
    </w:p>
    <w:p>
      <w:pPr>
        <w:jc w:val="both"/>
      </w:pPr>
      <w:r>
        <w:t xml:space="preserve">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leesbaar is (anders kunnen er geen punten toegekend worden);</w:t>
      </w:r>
    </w:p>
    <w:p>
      <w:pPr>
        <w:jc w:val="both"/>
      </w:pPr>
      <w:r>
        <w:t xml:space="preserve">- duidelijk gestructureerd is.</w:t>
      </w:r>
    </w:p>
    <w:p>
      <w:pPr>
        <w:jc w:val="both"/>
      </w:pPr>
      <w:r>
        <w:t xml:space="preserve"/>
      </w:r>
    </w:p>
    <w:p>
      <w:pPr>
        <w:jc w:val="both"/>
      </w:pPr>
      <w:r>
        <w:t xml:space="preserve">Wij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Het menselijk lichaam</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Koolstofchemie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Materialen en producten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Geluid, licht en kleur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30%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Synergie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03 / 480 55</w:t>
              <w:br/>
              <w:t xml:space="preserve"/>
              <w:br/>
              <w:t xml:space="preserve">uitgeverij@vanin.be</w:t>
              <w:br/>
              <w:t xml:space="preserve"/>
              <w:b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Natuurwetenschappen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03 / 480 55</w:t>
              <w:br/>
              <w:t xml:space="preserve"/>
              <w:br/>
              <w:t xml:space="preserve">uitgeverij@vanin.be</w:t>
              <w:br/>
              <w:t xml:space="preserve"/>
              <w:br/>
              <w:t xml:space="preserve">www.vanin.be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Eureka!</w:t>
              <w:br/>
              <w:t xml:space="preserve"/>
              <w:br/>
              <w:t xml:space="preserve">Eurek(h)a!</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015 / 36 36 36</w:t>
              <w:br/>
              <w:t xml:space="preserve"/>
              <w:br/>
              <w:t xml:space="preserve">klantendienst@plantyn.</w:t>
              <w:br/>
              <w:t xml:space="preserve"/>
              <w:br/>
              <w:t xml:space="preserve">www.plantyn.com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WeZo 5/6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015 / 36 36 36</w:t>
              <w:br/>
              <w:t xml:space="preserve"/>
              <w:br/>
              <w:t xml:space="preserve">klantendienst@plantyn.</w:t>
              <w:br/>
              <w:t xml:space="preserve"/>
              <w:br/>
              <w:t xml:space="preserve">www.plantyn.com</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5"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png"/><Relationship Id="rId12" Type="http://schemas.openxmlformats.org/officeDocument/2006/relationships/image" Target="media/image_rid12.png"/><Relationship Id="rId13" Type="http://schemas.openxmlformats.org/officeDocument/2006/relationships/image" Target="media/image_rid13.png"/><Relationship Id="rId14" Type="http://schemas.openxmlformats.org/officeDocument/2006/relationships/image" Target="media/image_rid1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