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3kso/3tso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vraagstukken oplossen of een verband tussen variabelen toepassen.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dit erg nuttig.</w:t>
        <w:br/>
        <w:t xml:space="preserve"/>
        <w:br/>
        <w:t xml:space="preserve">Tenslotte heeft wiskunde ook zijn sporen nagelaten in culturele, historische en wetenschappelijke evoluties. Leer die herkennen en de mogelijkheden en beperkingen te waarderen.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Reële functies en algebra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Denk vooraf na hoe je een wiskundig probleem zal aanpakken. Kies de meest efficiënte in functie van de oefening. Dit is niet steeds gemakkelijk en evident. Durf voor je zelf na te gaan of je wel de juiste weg gekozen hebt en stuur je leerproces bij indien nodig.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De laatste jaren heeft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kan je ICT handig inzetten. Oefen dan ook voldoende en leer je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Reële functies en algebra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Tweedegraadsfuncties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een tweedegraadsfunctie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tweedegraadsfunctie: dal- en bergparabool, symmetrieas en top, nulwaarden,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de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nulwaarden en het tekenschema van een tweedegraadsfunctie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het aantal nulwaarden en de ligging van de parabool</w:t>
              <w:br/>
              <w:t xml:space="preserve"/>
              <w:br/>
              <w:t xml:space="preserve">de grafische voorstelling vertalen naar het tekenschema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verloopschema van een tweedegraadsfunctie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grafische voorstelling vertalen naar het stijgen en dalen van de functie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Reële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reële functies: veeltermfuncties, eenvoudige rationale functies, sinusfuncties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kenmerken van reële functies: domein en bereik, periodiciteit, symmetrieën, stijgen en dalen, nulwaarden, extremawaarden, eventueel buigpunten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de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nulwaarden en het tekenschema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grafische voorstelling vertalen naar een tekenschema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extremawaarden en het verloopschema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grafische voorstelling vertalen naar het stijgen/dalen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vertalen naar een functieverband</w:t>
              <w:br/>
              <w:t xml:space="preserve"/>
              <w:br/>
              <w:t xml:space="preserve">de oplossing van vraagstukken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Exponentiële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een exponentiële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beginwaarde en de groeifactor van een exponentieel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waarden afleiden uit de grafische voorstelling</w:t>
              <w:br/>
              <w:t xml:space="preserve"/>
              <w:br/>
              <w:t xml:space="preserve">de groeifactor berekenen op basis van de waardentabel van een exponentieel verband</w:t>
              <w:br/>
              <w:t xml:space="preserve"/>
              <w:br/>
              <w:t xml:space="preserve">het groeipercentage berekenen aan de hand van de groeifactor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lineaire groei en een exponentiële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één van deze groeiprocessen herkennen in een verwoording, een tabelvorm, een functievoorschrift of een grafische voorstelling</w:t>
              <w:br/>
              <w:t xml:space="preserve"/>
              <w:br/>
              <w:t xml:space="preserve">het functievoorschrift opstellen voor een lineaire of exponentiële groei op basis van de grafiek of de tabelvorm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oplossen, die te herleiden zijn naar een exponentieel verband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Differentiequotiënten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differentiequotiënt</w:t>
              <w:br/>
              <w:t xml:space="preserve"/>
              <w:br/>
              <w:t xml:space="preserve"/>
            </w:r>
            <w:r>
              <w:rPr/>
            </w:r>
            <m:oMath>
              <m:f>
                <m:fPr>
                  <m:type m:val="bar"/>
                </m:fPr>
                <m:num>
                  <m:r>
                    <m:rPr>
                      <m:sty m:val="p"/>
                    </m:rPr>
                    <m:t>Δf</m:t>
                  </m:r>
                  <m:r>
                    <m:t>(x)</m:t>
                  </m:r>
                </m:num>
                <m:den>
                  <m:r>
                    <m:rPr>
                      <m:sty m:val="p"/>
                    </m:rPr>
                    <m:t>Δ</m:t>
                  </m:r>
                  <m:r>
                    <m:t>(x)</m:t>
                  </m:r>
                </m:den>
              </m:f>
              <m:r>
                <m:rPr>
                  <m:nor/>
                </m:rPr>
                <m:t/>
              </m:r>
              <m:r>
                <m:t>=</m:t>
              </m:r>
              <m:r>
                <m:rPr>
                  <m:nor/>
                </m:rPr>
                <m:t/>
              </m:r>
              <m:f>
                <m:fPr>
                  <m:type m:val="bar"/>
                </m:fPr>
                <m:num>
                  <m:r>
                    <m:t>f</m:t>
                  </m:r>
                  <m:r>
                    <m:t>(</m:t>
                  </m:r>
                  <m:sSub>
                    <m:e>
                      <m:r>
                        <m:t>x</m:t>
                      </m:r>
                    </m:e>
                    <m:sub>
                      <m:r>
                        <m:t>2</m:t>
                      </m:r>
                    </m:sub>
                  </m:sSub>
                  <m:r>
                    <m:t>)</m:t>
                  </m:r>
                  <m:r>
                    <m:rPr>
                      <m:nor/>
                    </m:rPr>
                    <m:t/>
                  </m:r>
                  <m:r>
                    <m:t>−</m:t>
                  </m:r>
                  <m:r>
                    <m:rPr>
                      <m:nor/>
                    </m:rPr>
                    <m:t/>
                  </m:r>
                  <m:r>
                    <m:t>f</m:t>
                  </m:r>
                  <m:r>
                    <m:t>(</m:t>
                  </m:r>
                  <m:sSub>
                    <m:e>
                      <m:r>
                        <m:t>x</m:t>
                      </m:r>
                    </m:e>
                    <m:sub>
                      <m:r>
                        <m:t>1</m:t>
                      </m:r>
                    </m:sub>
                  </m:sSub>
                  <m:r>
                    <m:t>)</m:t>
                  </m:r>
                </m:num>
                <m:den>
                  <m:sSub>
                    <m:e>
                      <m:r>
                        <m:t>x</m:t>
                      </m:r>
                    </m:e>
                    <m:sub>
                      <m:r>
                        <m:t>2</m:t>
                      </m:r>
                    </m:sub>
                  </m:sSub>
                  <m:r>
                    <m:rPr>
                      <m:nor/>
                    </m:rPr>
                    <m:t/>
                  </m:r>
                  <m:r>
                    <m:t>−</m:t>
                  </m:r>
                  <m:sSub>
                    <m:e>
                      <m:r>
                        <m:t>x</m:t>
                      </m:r>
                    </m:e>
                    <m:sub>
                      <m:r>
                        <m:t>1</m:t>
                      </m:r>
                    </m:sub>
                  </m:sSub>
                </m:den>
              </m:f>
            </m:oMath>
            <w:r>
              <w:rPr/>
              <w:t xml:space="preserve"> met </w:t>
            </w:r>
            <w:r>
              <w:rPr/>
            </w:r>
            <m:oMath>
              <m:sSub>
                <m:e>
                  <m:r>
                    <m:t>x</m:t>
                  </m:r>
                </m:e>
                <m:sub>
                  <m:r>
                    <m:t>2</m:t>
                  </m:r>
                </m:sub>
              </m:sSub>
              <m:r>
                <m:rPr>
                  <m:nor/>
                </m:rPr>
                <m:t/>
              </m:r>
              <m:r>
                <m:t>−</m:t>
              </m:r>
              <m:r>
                <m:rPr>
                  <m:nor/>
                </m:rPr>
                <m:t/>
              </m:r>
              <m:sSub>
                <m:e>
                  <m:r>
                    <m:t>x</m:t>
                  </m:r>
                </m:e>
                <m:sub>
                  <m:r>
                    <m:t>1</m:t>
                  </m:r>
                </m:sub>
              </m:sSub>
              <m:r>
                <m:rPr>
                  <m:nor/>
                </m:rPr>
                <m:t/>
              </m:r>
              <m:r>
                <m:t>≠</m:t>
              </m:r>
              <m:r>
                <m:rPr>
                  <m:nor/>
                </m:rPr>
                <m:t/>
              </m:r>
              <m:r>
                <m:t>0</m:t>
              </m:r>
            </m:oMath>
            <w:r>
              <w:rPr/>
              <w:t xml:space="preserve"/>
              <w:br/>
              <w:t xml:space="preserve"/>
              <w:br/>
              <w:t xml:space="preserve">deze toepassingen van het differentiequotiënt: gemiddelde helling, gemiddelde snelheid…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 gebruiken als een maat voor de gemiddelde verandering over een interval</w:t>
              <w:br/>
              <w:t xml:space="preserve"/>
              <w:br/>
              <w:t xml:space="preserve">differentiequotiënten berekenen en vergelijken in zinvolle contexten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populatie en steekproef</w:t>
              <w:br/>
              <w:t xml:space="preserve"/>
              <w:br/>
              <w:t xml:space="preserve">het onderscheid tussen representatieve en niet representatieve steekproeven</w:t>
              <w:br/>
              <w:t xml:space="preserve"/>
              <w:br/>
              <w:t xml:space="preserve">selecte, aselecte en opportunistische steekproeven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representativiteit van een steekproef onderzoeken</w:t>
              <w:br/>
              <w:t xml:space="preserve"/>
              <w:br/>
              <w:t xml:space="preserve">de soort steekproef herkennen en benoemen</w:t>
              <w:br/>
              <w:t xml:space="preserve"/>
              <w:br/>
              <w:t xml:space="preserve">het belang van een representatieve steekproef uitleggen aan de hand van een voorbeeld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waarden berekenen met behulp van ICT</w:t>
              <w:br/>
              <w:t xml:space="preserve"/>
              <w:br/>
              <w:t xml:space="preserve">uit de twee berekeningen (populatie en steekproef) de juiste kiezen voor de standaardafwijking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voorstellingen: taart- en staafdiagram, histogram, boxplot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voorstellingen interpreteren 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gausscurve herkennen als een normaal verdeling van statistische gegevens</w:t>
              <w:br/>
              <w:t xml:space="preserve"/>
              <w:br/>
              <w:t xml:space="preserve">een niet-normaal verdeling herkennen in een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 van 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karakteristieken afleiden uit een grafiek van de normaalverdeling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68-95-99,7% regel, bij een normaalverdeling </w:t>
            </w:r>
            <w:r>
              <w:rPr/>
            </w:r>
            <m:oMath>
              <m:r>
                <m:t>X∼N(μ,σ)</m:t>
              </m:r>
            </m:oMath>
            <w:r>
              <w:rPr/>
              <w:t xml:space="preserve"> geldt:</w:t>
              <w:br/>
              <w:t xml:space="preserve"/>
              <w:br/>
              <w:t xml:space="preserve"/>
            </w:r>
            <w:r>
              <w:rPr/>
            </w:r>
            <m:oMath>
              <m:r>
                <m:t>[</m:t>
              </m:r>
              <m:r>
                <m:t>μ−σ;μ+σ</m:t>
              </m:r>
              <m:r>
                <m:t>]</m:t>
              </m:r>
            </m:oMath>
            <w:r>
              <w:rPr/>
              <w:t xml:space="preserve"> bevat 68,27% van de gegevens</w:t>
              <w:br/>
              <w:t xml:space="preserve"/>
              <w:br/>
              <w:t xml:space="preserve"/>
            </w:r>
            <w:r>
              <w:rPr/>
            </w:r>
            <m:oMath>
              <m:r>
                <m:t>[</m:t>
              </m:r>
              <m:r>
                <m:t>μ−2σ;μ+2σ</m:t>
              </m:r>
              <m:r>
                <m:t>]</m:t>
              </m:r>
            </m:oMath>
            <w:r>
              <w:rPr/>
              <w:t xml:space="preserve"> bevat 95,45% van de gegevens</w:t>
              <w:br/>
              <w:t xml:space="preserve"/>
              <w:br/>
              <w:t xml:space="preserve"/>
            </w:r>
            <w:r>
              <w:rPr/>
            </w:r>
            <m:oMath>
              <m:r>
                <m:t>[</m:t>
              </m:r>
              <m:r>
                <m:t>μ−3σ;μ+3σ</m:t>
              </m:r>
              <m:r>
                <m:t>]</m:t>
              </m:r>
            </m:oMath>
            <w:r>
              <w:rPr/>
              <w:t xml:space="preserve"> bevat 99,73% van de gegevens</w:t>
              <w:br/>
              <w:t xml:space="preserve"/>
              <w:br/>
              <w:t xml:space="preserve">(de intervallen mogen open of gesloten staan)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regel toepassen in zinvolle contexten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grafische voorstellingswijzen in de media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grafische voorstellingen interpreteren en evalueren</w:t>
              <w:br/>
              <w:t xml:space="preserve"/>
              <w:br/>
              <w:t xml:space="preserve">de juiste informatie terugvinden in een misleidende voorstelling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3kso / 3tso is een digitaal examen.</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Tijdens het examen stellen we</w:t>
      </w:r>
    </w:p>
    <w:p>
      <w:pPr>
        <w:jc w:val="both"/>
      </w:pPr>
      <w:r>
        <w:t xml:space="preserve">https://examencommissiesecundaironderwijs.be/rekenapps ter beschikking.</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
      </w:r>
    </w:p>
    <w:p>
      <w:pPr>
        <w:jc w:val="both"/>
      </w:pPr>
      <w:r>
        <w:t xml:space="preserve">De digitale rekenmachine op de chrome-boxen in het examencentrum kan je hier downloaden om te oefenen: https://chrome.google.com/webstore/detail/calculator/joodangkbfjnajiiifokapkpmhfnpleo?hl=nl</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meerkeuzevragen, interpretatie van grafieken en tabellen. Er is geen giscorrectie.</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
      </w:r>
    </w:p>
    <w:p>
      <w:pPr>
        <w:jc w:val="both"/>
      </w:pPr>
      <w:r>
        <w:t xml:space="preserve">-	herken en begrijp je de wiskundige symbolen en notaties </w:t>
      </w:r>
    </w:p>
    <w:p>
      <w:pPr>
        <w:jc w:val="both"/>
      </w:pPr>
      <w:r>
        <w:t xml:space="preserve">-	pas je de wiskundige rekenregels correct toe </w:t>
      </w:r>
    </w:p>
    <w:p>
      <w:pPr>
        <w:jc w:val="both"/>
      </w:pPr>
      <w:r>
        <w:t xml:space="preserve">-	kan je een probleemstelling vertalen naar een vraagstuk</w:t>
      </w:r>
    </w:p>
    <w:p>
      <w:pPr>
        <w:jc w:val="both"/>
      </w:pPr>
      <w:r>
        <w:t xml:space="preserve">-	duid je het juiste antwoord aan om een punt te scoren</w:t>
      </w:r>
    </w:p>
    <w:p>
      <w:pPr>
        <w:jc w:val="both"/>
      </w:pPr>
      <w:r>
        <w:t xml:space="preserve">-	vul je je resultaat in volgens de gevraagde vorm</w:t>
      </w:r>
    </w:p>
    <w:p>
      <w:pPr>
        <w:jc w:val="both"/>
      </w:pPr>
      <w:r>
        <w:t xml:space="preserve">-	rond je zinvol af</w:t>
      </w:r>
    </w:p>
    <w:p>
      <w:pPr>
        <w:jc w:val="both"/>
      </w:pPr>
      <w:r>
        <w:t xml:space="preserve">-	gebruik je correct en efficiënt ICT</w:t>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Reële functies en algebra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60%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4/5</w:t>
              <w:br/>
              <w:t xml:space="preserve">2 en 3 uurs tso-kso</w:t>
              <w:br/>
              <w:t xml:space="preserve"/>
              <w:br/>
              <w:t xml:space="preserve">Matrix 5/6</w:t>
              <w:br/>
              <w:t xml:space="preserve">3 uurs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Nieuwe Delta T 5/6</w:t>
              <w:br/>
              <w:t xml:space="preserve"/>
              <w:br/>
              <w:t xml:space="preserve">Nieuwe Top 5/6</w:t>
              <w:br/>
              <w:t xml:space="preserve"/>
              <w:br/>
              <w:t xml:space="preserve">Integraal 5/6</w:t>
              <w:br/>
              <w:t xml:space="preserve">2 uurs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