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wiskunde 2 DO gevorderd</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2018 tot en met 31 december  2018</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3B107C9" w14:textId="0CC9D337" w:rsidR="00EB0FCA" w:rsidRDefault="00EB0FCA" w:rsidP="00A630B1">
      <w:pPr>
        <w:spacing w:after="160" w:line="259" w:lineRule="auto"/>
      </w:pPr>
      <w:r w:rsidRPr="00A630B1">
        <w:rPr>
          <w:color w:val="00B050"/>
        </w:rPr>
        <w:t/>
      </w:r>
      <w:r>
        <w:t>2e graad aso</w:t>
      </w:r>
    </w:p>
    <w:p w14:paraId="6F9C7D5A" w14:textId="79849158" w:rsidR="006A6801" w:rsidRDefault="00EB0FCA" w:rsidP="004B5B24">
      <w:pPr>
        <w:pStyle w:val="ListParagraph"/>
        <w:spacing w:after="160" w:line="259" w:lineRule="auto"/>
        <w:ind w:left="708" w:firstLine="708"/>
      </w:pPr>
      <w:r w:rsidRPr="00646AC9">
        <w:rPr>
          <w:color w:val="00B050"/>
        </w:rPr>
        <w:t/>
      </w:r>
      <w:r>
        <w:t>Latijn</w:t>
      </w:r>
      <w:r w:rsidRPr="00646AC9">
        <w:rPr>
          <w:color w:val="00B050"/>
        </w:rPr>
        <w:t/>
      </w:r>
    </w:p>
    <w:p w14:paraId="6F9C7D5A" w14:textId="79849158" w:rsidR="006A6801" w:rsidRDefault="00EB0FCA" w:rsidP="004B5B24">
      <w:pPr>
        <w:pStyle w:val="ListParagraph"/>
        <w:spacing w:after="160" w:line="259" w:lineRule="auto"/>
        <w:ind w:left="708" w:firstLine="708"/>
      </w:pPr>
      <w:r w:rsidRPr="00646AC9">
        <w:rPr>
          <w:color w:val="00B050"/>
        </w:rPr>
        <w:t/>
      </w:r>
      <w:r>
        <w:t>Economische wetenschappen</w:t>
      </w:r>
      <w:r w:rsidRPr="00646AC9">
        <w:rPr>
          <w:color w:val="00B050"/>
        </w:rPr>
        <w:t/>
      </w:r>
    </w:p>
    <w:p w14:paraId="6F9C7D5A" w14:textId="79849158" w:rsidR="006A6801" w:rsidRDefault="00EB0FCA" w:rsidP="004B5B24">
      <w:pPr>
        <w:pStyle w:val="ListParagraph"/>
        <w:spacing w:after="160" w:line="259" w:lineRule="auto"/>
        <w:ind w:left="708" w:firstLine="708"/>
      </w:pPr>
      <w:r w:rsidRPr="00646AC9">
        <w:rPr>
          <w:color w:val="00B050"/>
        </w:rPr>
        <w:t/>
      </w:r>
      <w:r>
        <w:t>Natuurwetenschappen</w:t>
      </w:r>
      <w:r w:rsidRPr="00646AC9">
        <w:rPr>
          <w:color w:val="00B050"/>
        </w:rPr>
        <w:t/>
      </w:r>
    </w:p>
    <w:p w14:paraId="6F9C7D5A" w14:textId="79849158" w:rsidR="006A6801" w:rsidRDefault="00EB0FCA" w:rsidP="004B5B24">
      <w:pPr>
        <w:pStyle w:val="ListParagraph"/>
        <w:spacing w:after="160" w:line="259" w:lineRule="auto"/>
        <w:ind w:left="708" w:firstLine="708"/>
      </w:pPr>
      <w:r w:rsidRPr="00646AC9">
        <w:rPr>
          <w:color w:val="00B050"/>
        </w:rPr>
        <w:t/>
      </w:r>
      <w:r>
        <w:t>Moderne talen</w:t>
      </w:r>
      <w:r w:rsidRPr="00646AC9">
        <w:rPr>
          <w:color w:val="00B050"/>
        </w:rPr>
        <w:t/>
      </w: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http://eindtermen.vlaanderen.be/index.htm</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In onze samenleving is wiskunde overal. Zo zie je om je heen bijvoorbeeld vaak informatie in tabellen met getallen, in grafieken, diagrammen en schema's. Het vak wiskunde leert je relevante informatie onderscheiden van overbodige informatie en kritisch omgaan met deze overvloed aan cijfermateriaal en grafische voorstellingen.</w:t>
        <w:br/>
        <w:t xml:space="preserve"/>
        <w:br/>
        <w:t xml:space="preserve">Je hebt ongetwijfeld ook gemerkt dat je regelmatig alledaagse problemen moet oplossen of vragen moet beantwoorden waarvoor je wiskunde nodig hebt zoals vraagstukken oplossen of een verband tussen variabelen toepassen. Die problemen zelfstandig aanpakken op een wiskundige manier is niet altijd gemakkelijk. Het vraagt doorzettingsvermogen en volharding.</w:t>
        <w:br/>
        <w:t xml:space="preserve"/>
        <w:br/>
        <w:t xml:space="preserve">Bovendien moet je een aantal basisleerinhouden beheersen en belangrijke wiskundige vaardigheden ontwikkelen om structuren en verbanden in het dagelijkse leven te herkennen en zo die concrete problemen op te lossen. De vraag naar praktisch bruikbare en concrete wiskunde is in onze samenleving dan ook erg groot. Het vak wiskunde biedt hier een antwoord op en leert je de wisselwerking maken tussen de theorie en de toepassing ervan in je dagelijkse leven.</w:t>
        <w:br/>
        <w:t xml:space="preserve"/>
        <w:br/>
        <w:t xml:space="preserve">Evenwel is de bewijsvoering eigen, belangrijk en noodzakelijk aan wiskunde. Ook dit is een leerrijke ervaring.</w:t>
        <w:br/>
        <w:t xml:space="preserve"/>
        <w:br/>
        <w:t xml:space="preserve">Daarnaast vult het vak wiskunde ook andere vakken aan. Je leert ordenen, structureren, analyseren, werken volgens een plan. Ook in andere domeinen buiten wiskunde is dit erg nuttig.</w:t>
        <w:br/>
        <w:t xml:space="preserve"/>
        <w:br/>
        <w:t xml:space="preserve">Tenslotte heeft wiskunde ook zijn sporen nagelaten in culturele, historische en wetenschappelijke evoluties. Leer die herkennen en de mogelijkheden en beperkingen te waarderen.</w:t>
      </w:r>
    </w:p>
    <w:p>
      <w:r>
        <w:rPr/>
        <w:t xml:space="preserve"/>
      </w:r>
      <w:r>
        <w:rPr>
          <w:color w:val="00B050"/>
        </w:rPr>
        <w:t/>
      </w:r>
    </w:p>
    <w:p w14:paraId="70391787" w14:textId="3DB223A8" w:rsidR="00047953" w:rsidRDefault="001D02B3" w:rsidP="0082741A">
      <w:r>
        <w:rPr>
          <w:color w:val="00B050"/>
        </w:rPr>
        <w:t/>
      </w:r>
      <w:r>
        <w:t/>
      </w:r>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Meetkunde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Getallenleer en algebra </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Reële functies</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Statistiek</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Om je goed voor te bereiden op het examen, probeer je best deze studietips te volgen.</w:t>
        <w:br/>
        <w:t xml:space="preserve"/>
        <w:br/>
        <w:t xml:space="preserve">1.      Om oefeningen op te lossen moet je voldoende wiskundetaal beheersen anders begrijp je de oefening niet en zal je niet de juiste woorden vinden om ze op te lossen. Ga daarom altijd na of je de wiskundetaal bij de leerinhouden in de volgende tabellen voldoende begrijpt. Gebruik de juiste wiskundige symbolen en notaties: bijvoorbeeld bij het neerschrijven van de informatie van een grafische voorstelling of het noteren van een oplossing.</w:t>
        <w:br/>
        <w:t xml:space="preserve"/>
        <w:br/>
        <w:t xml:space="preserve">2.      Om het examen vlot af te leggen, moet je verschillende structuren in de wiskunde kunnen herkennen en toepassen. Oefen daarom veel en regelmatig. Maak verschillende soorten oefeningen over dezelfde leerinhoud. Bovendien krijg je meer zelfvertrouwen omdat je de verschillende soorten oefeningen herkent.</w:t>
        <w:br/>
        <w:t xml:space="preserve"/>
        <w:br/>
        <w:t xml:space="preserve">3.      Op het examen zal je vraagstukken moeten oplossen. Probeer ze eerst goed te begrijpen door ze een paar keer te lezen. Misschien helpt het je ook om de opgave voor jezelf te herformuleren. Daarna probeer je best om het vraagstuk te structureren: maak een duidelijk onderscheid tussen het gegeven en het gevraagde. Dat kan je bijvoorbeeld door het vraagstuk voor te stellen in een schets of een schema.</w:t>
        <w:br/>
        <w:t xml:space="preserve"/>
        <w:br/>
        <w:t xml:space="preserve">4.      Tot slot is het belangrijk dat je zelf controles inbouwt en je resultaat toetst op betrouwbaarheid: bijvoorbeeld toets het resultaat van een vergelijking aan je opgave.</w:t>
        <w:br/>
        <w:t xml:space="preserve"/>
        <w:br/>
        <w:t xml:space="preserve">5.      Studeren met leeftijdsgenoten kan motiveren en helpen je eigen mogelijkheden te vergroten.</w:t>
        <w:br/>
        <w:t xml:space="preserve"/>
        <w:br/>
        <w:t xml:space="preserve">De laatste jaren heeft ICT zijn intrede gedaan en het gewone rekenwerk overgenomen. Het biedt een ondersteuning en voor het tekenen van grafieken van verbanden tussen grootheden is het een knap en tijdbesparend middel. Het tekenen van grafieken komt immers meermaals voor bij de leerinhouden. Ook bij het oplossen van wiskundige problemen kan je ICT handig inzetten. Oefen dan ook voldoende en leer je ICT-hulpmiddelen goed kennen en gebruiken.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Meetkunde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gelijkvormigheid van driehoeken, vlakke meetkundige figuren en ruimtefiguren: kubus, balk, prisma en piramide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verband tussen schaal, congruentie en gelijkvormigheid herkennen</w:t>
              <w:br/>
              <w:t xml:space="preserve"/>
              <w:br/>
              <w:t xml:space="preserve">de gelijkvormigheidskenmerken herkennen</w:t>
              <w:br/>
              <w:t xml:space="preserve"/>
              <w:br/>
              <w:t xml:space="preserve">de gelijkvormigheid van driehoeken gebruiken om de lengte van lijnstukken te berekenen</w:t>
              <w:br/>
              <w:t xml:space="preserve"/>
              <w:br/>
              <w:t xml:space="preserve">de gelijkvormigheidskenmerken herkennen bij ruimtefiguren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stelling van Thales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stelling toepassen om zijden van driehoeken te berekenen</w:t>
              <w:br/>
              <w:t xml:space="preserve"/>
              <w:br/>
              <w:t xml:space="preserve">deze stelling toepassen om de lengte van lijnstukken, zowel in het vlak als in de ruimte te berekenen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stelling van Pythagoras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stelling gebruiken om één zijde te berekenen in een rechthoekige driehoek als de twee andere zijden gegeven zijn</w:t>
              <w:br/>
              <w:t xml:space="preserve"/>
              <w:br/>
              <w:t xml:space="preserve">deze stelling herkennen in een vlakke meetkundige figuur die kan opgesplitst worden in rechthoekige driehoeken</w:t>
              <w:br/>
              <w:t xml:space="preserve"/>
              <w:br/>
              <w:t xml:space="preserve">deze stelling toepassen in eenvoudige ruimtelijke situaties zoals de hoogte van een piramide, de lengte van een ribbe van een vierzijdige piramide…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afstandsformule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afstand berekenen tussen twee punten gegeven door hun coördinaten in een cartesisch assenstelsel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meetkundige begrippen in een cirkel: middelloodlijn, straal, koorde, middelpuntshoek, omtrekshoek, raaklijn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gebruiken bij berekeningen</w:t>
              <w:br/>
              <w:t xml:space="preserve"/>
              <w:br/>
              <w:t xml:space="preserve">de onderlinge ligging van een cirkel en een rechte onderzoeken</w:t>
              <w:br/>
              <w:t xml:space="preserve"/>
              <w:br/>
              <w:t xml:space="preserve">het verband tussen een middelpuntshoek en een omtrekshoek gebruiken bij berekeningen</w:t>
              <w:br/>
              <w:t xml:space="preserve"/>
              <w:br/>
              <w:t xml:space="preserve">de raaklijn in een punt van een cirkel tekenen</w:t>
              <w:br/>
              <w:t xml:space="preserve"/>
              <w:br/>
              <w:t xml:space="preserve">de raaklijn uit een punt aan een cirkel tekenen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goniometrische getallen in een rechthoekige driehoek: sinus, cosinus en tangens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goniometrische getallen definiëren</w:t>
              <w:br/>
              <w:t xml:space="preserve"/>
              <w:br/>
              <w:t xml:space="preserve">deze goniometrische getallen berekenen met behulp van ICT</w:t>
              <w:br/>
              <w:t xml:space="preserve"/>
              <w:br/>
              <w:t xml:space="preserve">het maatgetal van een scherpe hoek berekenen als de goniometrische getallen gegeven zijn</w:t>
              <w:br/>
              <w:t xml:space="preserve"/>
              <w:br/>
              <w:t xml:space="preserve">deze getallen gebruiken om rechthoekige driehoeken op te lossen</w:t>
              <w:br/>
              <w:t xml:space="preserve"/>
              <w:br/>
              <w:t xml:space="preserve">deze getallen gebruiken om vraagstukken op te lossen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onderlinge ligging van rechten en vlakken in de ruimte</w:t>
              <w:br/>
              <w:t xml:space="preserve"/>
              <w:br/>
              <w:t xml:space="preserve">de begrippen: evenwijdig, loodrecht, snijdend en kruisend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herkennen en benoemen in een kubus of balk voor de onderlinge ligging van een vlak en een rechte, voor vlakken en rechten onderling</w:t>
              <w:br/>
              <w:t xml:space="preserve"/>
              <w:br/>
              <w:t xml:space="preserve">in tweedimensionale afbeeldingen van driedimensionale situaties het verlies aan informatie aantonen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schaalverandering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gegeven ruimtelijke situaties opsplitsen in eenvoudige ruimtefiguren: balk, kubus, cilinder, bol, piramide en hiervan het volume of de inhoud exact of benaderend berekenen</w:t>
              <w:br/>
              <w:t xml:space="preserve"/>
              <w:br/>
              <w:t xml:space="preserve">een vergroting of verkleining herkennen bij een schaalverandering bij de ruimtefiguren kubus, balk en cilinder</w:t>
              <w:br/>
              <w:t xml:space="preserve"/>
              <w:br/>
              <w:t xml:space="preserve">de gelijkvormigheidsfactor gebruiken om de inhoud en de oppervlakte bij een schaalverandering te berekenen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Getallenleer en algebra </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reële getallen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getallen herkennen als een eindig of een oneindig doorlopend decimaal getal</w:t>
              <w:br/>
              <w:t xml:space="preserve"/>
              <w:br/>
              <w:t xml:space="preserve">deze getallen plaatsen op een getallenas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rekenregels voor machten met gehele exponenten</w:t>
              <w:br/>
              <w:t xml:space="preserve"/>
              <w:br/>
              <w:t xml:space="preserve">de rekenregels voor vierkantswortels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rekenregels toepassen om berekeningen met reële getallen en met lettervormen te vereenvoudigen</w:t>
              <w:br/>
              <w:t xml:space="preserve"/>
              <w:br/>
              <w:t xml:space="preserve">de bewerkingen met vierkantswortels uitvoeren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eenvoudige formules uit de meetkunde of de fysica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één variabele in functie van de andere 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tweedegraadsveeltermen</w:t>
              <w:br/>
              <w:t xml:space="preserve"/>
              <w:br/>
              <w:t xml:space="preserve">de ontbindingstechnieken: methode van de discriminant, som en productregel, merkwaardige producten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tweedegraadsveelterm ontbinden in factoren van de eerste graad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eerstegraadsvergelijkingen</w:t>
              <w:br/>
              <w:t xml:space="preserve"/>
              <w:br/>
              <w:t xml:space="preserve">tweedegraadsvergelijkingen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eerstegraadsvergelijking oplossen</w:t>
              <w:br/>
              <w:t xml:space="preserve"/>
              <w:br/>
              <w:t xml:space="preserve">een tweedegraadsvergelijking oplossen</w:t>
              <w:br/>
              <w:t xml:space="preserve"/>
              <w:br/>
              <w:t xml:space="preserve">een vraagstuk vertalen naar een eerste- of tweedegraadsvergelijking en deze oplossen</w:t>
              <w:br/>
              <w:t xml:space="preserve"/>
              <w:br/>
              <w:t xml:space="preserve">eerste- en tweedegraadsvergelijkingen oplossen met behulp van ICT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eerstegraadsongelijkheden</w:t>
              <w:br/>
              <w:t xml:space="preserve"/>
              <w:br/>
              <w:t xml:space="preserve">tweedegraadsongelijkheden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eerstegraadsongelijkheid oplossen</w:t>
              <w:br/>
              <w:t xml:space="preserve"/>
              <w:br/>
              <w:t xml:space="preserve">een tweedegraadsongelijkheid oplossen</w:t>
              <w:br/>
              <w:t xml:space="preserve"/>
              <w:br/>
              <w:t xml:space="preserve">een vraagstuk vertalen naar een eerste- of tweedegraadsongelijkheid en deze oplossen</w:t>
              <w:br/>
              <w:t xml:space="preserve"/>
              <w:br/>
              <w:t xml:space="preserve">eerste- en tweedegraadsongelijkheden oplossen met behulp van ICT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Reële functies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Standaardfuncties</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voorstellingswijzen van een functie: verwoording, tabel, grafiek en voorschrift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voorstellingswijzen weergeven op verschillende manieren</w:t>
              <w:br/>
              <w:t xml:space="preserve"/>
              <w:br/>
              <w:t xml:space="preserve">een betekenisvolle situatie vertalen naar een functieverband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functievoorschrift van de standaardfuncties</w:t>
              <w:br/>
              <w:t xml:space="preserve"/>
              <w:br/>
              <w:t xml:space="preserve"/>
            </w:r>
            <w:r>
              <w:rPr/>
            </w:r>
            <m:oMath>
              <m:r>
                <m:t>f(x)</m:t>
              </m:r>
              <m:r>
                <m:rPr>
                  <m:nor/>
                </m:rPr>
                <m:t> = </m:t>
              </m:r>
              <m:r>
                <m:t>x,</m:t>
              </m:r>
              <m:r>
                <m:rPr>
                  <m:nor/>
                </m:rPr>
                <m:t/>
              </m:r>
              <m:r>
                <m:t>f(x)</m:t>
              </m:r>
              <m:r>
                <m:rPr>
                  <m:nor/>
                </m:rPr>
                <m:t> = </m:t>
              </m:r>
              <m:sSup>
                <m:e>
                  <m:r>
                    <m:t>x</m:t>
                  </m:r>
                </m:e>
                <m:sup>
                  <m:r>
                    <m:t>2</m:t>
                  </m:r>
                </m:sup>
              </m:sSup>
              <m:r>
                <m:t>,</m:t>
              </m:r>
              <m:r>
                <m:rPr>
                  <m:nor/>
                </m:rPr>
                <m:t/>
              </m:r>
              <m:r>
                <m:t>f(x)</m:t>
              </m:r>
              <m:r>
                <m:rPr>
                  <m:nor/>
                </m:rPr>
                <m:t> = </m:t>
              </m:r>
              <m:sSup>
                <m:e>
                  <m:r>
                    <m:t>x</m:t>
                  </m:r>
                </m:e>
                <m:sup>
                  <m:r>
                    <m:t>3</m:t>
                  </m:r>
                </m:sup>
              </m:sSup>
              <m:r>
                <m:t>,</m:t>
              </m:r>
              <m:r>
                <m:rPr>
                  <m:nor/>
                </m:rPr>
                <m:t/>
              </m:r>
              <m:r>
                <m:t>f(x)</m:t>
              </m:r>
              <m:r>
                <m:rPr>
                  <m:nor/>
                </m:rPr>
                <m:t> = </m:t>
              </m:r>
              <m:f>
                <m:fPr>
                  <m:type m:val="bar"/>
                </m:fPr>
                <m:num>
                  <m:r>
                    <m:t>1</m:t>
                  </m:r>
                </m:num>
                <m:den>
                  <m:r>
                    <m:t>x</m:t>
                  </m:r>
                </m:den>
              </m:f>
              <m:r>
                <m:t>,</m:t>
              </m:r>
              <m:r>
                <m:rPr>
                  <m:nor/>
                </m:rPr>
                <m:t/>
              </m:r>
              <m:r>
                <m:t>f(x)</m:t>
              </m:r>
              <m:r>
                <m:rPr>
                  <m:nor/>
                </m:rPr>
                <m:t> = </m:t>
              </m:r>
              <m:rad>
                <m:radPr>
                  <m:degHide m:val="on"/>
                </m:radPr>
                <m:deg/>
                <m:e>
                  <m:r>
                    <m:t>x</m:t>
                  </m:r>
                </m:e>
              </m:rad>
            </m:oMath>
            <w:r>
              <w:rPr/>
              <w:t xml:space="preserve"/>
              <w:br/>
              <w:t xml:space="preserve"/>
              <w:br/>
              <w:t xml:space="preserve">de kenmerken van de standaardfuncties: domein en bereik, nulwaarden, extremawaarden, symmetrie, tekenverandering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waardentabel opstellen voor deze functies</w:t>
              <w:br/>
              <w:t xml:space="preserve"/>
              <w:br/>
              <w:t xml:space="preserve">deze functies tekenen met behulp van ICT</w:t>
              <w:br/>
              <w:t xml:space="preserve"/>
              <w:br/>
              <w:t xml:space="preserve"> </w:t>
              <w:br/>
              <w:t xml:space="preserve"/>
              <w:br/>
              <w:t xml:space="preserve">deze kenmerken afleiden uit de grafische voorstelling van de functie</w:t>
              <w:br/>
              <w:t xml:space="preserve"/>
              <w:br/>
              <w:t xml:space="preserve">de grafische voorstelling vertalen naar een tekenschema</w:t>
              <w:br/>
              <w:t xml:space="preserve"/>
              <w:br/>
              <w:t xml:space="preserve">de grafische voorstelling vertalen naar een verloopschema</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afgeleide functies </w:t>
            </w:r>
            <w:r>
              <w:rPr/>
            </w:r>
            <m:oMath>
              <m:r>
                <m:t>f(x)</m:t>
              </m:r>
              <m:r>
                <m:rPr>
                  <m:nor/>
                </m:rPr>
                <m:t/>
              </m:r>
              <m:r>
                <m:t>+k,</m:t>
              </m:r>
              <m:r>
                <m:rPr>
                  <m:nor/>
                </m:rPr>
                <m:t/>
              </m:r>
              <m:r>
                <m:t>f(x</m:t>
              </m:r>
              <m:r>
                <m:rPr>
                  <m:nor/>
                </m:rPr>
                <m:t/>
              </m:r>
              <m:r>
                <m:t>+</m:t>
              </m:r>
              <m:r>
                <m:rPr>
                  <m:nor/>
                </m:rPr>
                <m:t/>
              </m:r>
              <m:r>
                <m:t>k)</m:t>
              </m:r>
              <m:r>
                <m:rPr>
                  <m:nor/>
                </m:rPr>
                <m:t/>
              </m:r>
              <m:r>
                <m:t>,</m:t>
              </m:r>
              <m:r>
                <m:rPr>
                  <m:nor/>
                </m:rPr>
                <m:t/>
              </m:r>
              <m:r>
                <m:t>kf(x)</m:t>
              </m:r>
              <m:r>
                <m:rPr>
                  <m:nor/>
                </m:rPr>
                <m:t/>
              </m:r>
            </m:oMath>
            <w:r>
              <w:rP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functies tekenen vanuit de standaardfuncties</w:t>
              <w:br/>
              <w:t xml:space="preserve"/>
              <w:br/>
              <w:t xml:space="preserve"/>
            </w:r>
            <w:r>
              <w:rPr/>
            </w:r>
            <m:oMath>
              <m:r>
                <m:rPr>
                  <m:nor/>
                </m:rPr>
                <m:t/>
              </m:r>
              <m:r>
                <m:t>f(x)</m:t>
              </m:r>
              <m:r>
                <m:rPr>
                  <m:nor/>
                </m:rPr>
                <m:t> = </m:t>
              </m:r>
              <m:r>
                <m:t>x,</m:t>
              </m:r>
              <m:r>
                <m:rPr>
                  <m:nor/>
                </m:rPr>
                <m:t/>
              </m:r>
              <m:r>
                <m:t>f(x)</m:t>
              </m:r>
              <m:r>
                <m:rPr>
                  <m:nor/>
                </m:rPr>
                <m:t> = </m:t>
              </m:r>
              <m:sSup>
                <m:e>
                  <m:r>
                    <m:t>x</m:t>
                  </m:r>
                </m:e>
                <m:sup>
                  <m:r>
                    <m:t>2</m:t>
                  </m:r>
                </m:sup>
              </m:sSup>
            </m:oMath>
            <w:r>
              <w:rP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Eerstegraadsfuncties</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grafiek, de tabel, het functievoorschrift,  de richtingscoëfficiënt van een eerstegraadsfunctie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grafiek tekenen met behulp van ICT</w:t>
              <w:br/>
              <w:t xml:space="preserve"/>
              <w:br/>
              <w:t xml:space="preserve">een eerstegraadsverband herkennen in een tabel of grafische voorstelling</w:t>
              <w:br/>
              <w:t xml:space="preserve"/>
              <w:br/>
              <w:t xml:space="preserve">het functievoorschrift opstellen vanuit een tabel of grafiek</w:t>
              <w:br/>
              <w:t xml:space="preserve"/>
              <w:br/>
              <w:t xml:space="preserve">de richtingscoëfficiënt afleiden uit de tabel of de grafische voorstelling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verband tussen het nulpunt van de grafiek van een eerstegraadsfunctie en de oplossing van een eerstegraadsvergelijking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nulpunt  afleiden van de grafische voorstelling</w:t>
              <w:br/>
              <w:t xml:space="preserve"/>
              <w:br/>
              <w:t xml:space="preserve">het snijpunt van de rechte met de x-as interpreteren als het nulpunt van de functie</w:t>
              <w:br/>
              <w:t xml:space="preserve"/>
              <w:br/>
              <w:t xml:space="preserve">de bijhorende eerstegraadvergelijking oplossen om het nulpunt van de functie te bepalen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verband tussen de tekenverandering en een eerstegraadsongelijkheid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tekenverandering van een functie gebruiken om een ongelijkheid op te lossen</w:t>
              <w:br/>
              <w:t xml:space="preserve"/>
              <w:br/>
              <w:t xml:space="preserve">vraagstukken oplossen, die kunnen beschreven worden met een eerstegraadsfunctie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coëfficiënten a en b in y = ax + b</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coëfficiënten interpreteren in toepassingen, waarin gebruik gemaakt wordt van een eerstegraadsfunctie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Tweedegraadsfuncties</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grafiek, het functievoorschrift van een tweedegraadsfunctie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grafiek tekenen met behulp van ICT</w:t>
              <w:br/>
              <w:t xml:space="preserve"/>
              <w:br/>
              <w:t xml:space="preserve">het functievoorschrift opstellen als enkele punten van de parabool gegeven zijn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een tweedegraadsfunctie: domein, bereik, symmetrie en top, nulpunten, tekenverandering, stijgen en dalen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aflezen uit een grafische voorstelling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verband tussen de nulpunten van een parabool en de wortels (oplossingen) van een vierkantsvergelijking (tweedegraadsvergelijking)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bijhorende tweedegraadsvergelijking oplossen om de nulpunten van de functie te bepalen</w:t>
              <w:br/>
              <w:t xml:space="preserve"/>
              <w:br/>
              <w:t xml:space="preserve">het verband leggen tussen het aantal oplossingen van de vergelijking en de nulpunten van de functie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verband tussen de tekenverandering en een tweedegraadsongelijkheid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tekenverandering weergeven in een schematische voorstelling</w:t>
              <w:br/>
              <w:t xml:space="preserve"/>
              <w:br/>
              <w:t xml:space="preserve">de tekenverandering gebruiken om een tweedegraadsongelijkheid op te lossen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extremavraagstukken vertalen naar een tweedegraadsfunctie en deze oplossen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Stelsels eerstegraadsvergelijkingen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algebraïsche oplossingsmethoden: methode van de gelijkstelling, substitutie- en combinatiemethode</w:t>
              <w:br/>
              <w:t xml:space="preserve"/>
              <w:br/>
              <w:t xml:space="preserve">de grafische oplossingsmethode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methoden gebruiken om een stelsel van twee vergelijkingen van de eerste graad met twee onbekenden op te lossen</w:t>
              <w:br/>
              <w:t xml:space="preserve"/>
              <w:br/>
              <w:t xml:space="preserve">het snijpunt van twee rechten interpreteren als de oplossing van een stelsel eerstegraadsvergelijkingen</w:t>
              <w:br/>
              <w:t xml:space="preserve"/>
              <w:br/>
              <w:t xml:space="preserve">vraagstukken vertalen naar een stelsel eerstegraadsvergelijkingen en deze oplossen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Rechten en parabolen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snijpunten van rechten en/of parabolen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punten algebraïsch bepalen</w:t>
              <w:br/>
              <w:t xml:space="preserve"/>
              <w:br/>
              <w:t xml:space="preserve">deze punten grafisch bepalen met behulp van ICT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Differentiequotiënten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richtingscoëfficiënt van een rechte</w:t>
              <w:br/>
              <w:t xml:space="preserve"/>
              <w:br/>
              <w:t xml:space="preserve">de gemiddelde verandering over een interval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differentiequotiënt aanduiden als de richtingscoëfficiënt op een grafische voorstelling van een rechte</w:t>
              <w:br/>
              <w:t xml:space="preserve"/>
              <w:br/>
              <w:t xml:space="preserve">een differentiequotiënt berekenen</w:t>
              <w:br/>
              <w:t xml:space="preserve"/>
              <w:br/>
              <w:t xml:space="preserve">het differentiequotiënt interpreteren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Statistiek</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kwantitatieve en kwalitatieve variabelen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variabelen herkennen in voorbeelden uit kranten, tijdschriften, internetpagina’s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steekproef en populatie</w:t>
              <w:br/>
              <w:t xml:space="preserve"/>
              <w:br/>
              <w:t xml:space="preserve">het begrip representatieve steekproef</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herkennen en benoemen in voorbeelden uit kranten, tijdschriften, internetpagina’s</w:t>
              <w:br/>
              <w:t xml:space="preserve"/>
              <w:br/>
              <w:t xml:space="preserve">de representativiteit van een steekproef  in verband brengen met de besluitvorming voor de populatie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frequentietabellen van individuele en gegroepeerde gegevens: absolute, relatieve en cumulatieve frequentie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gegevens ordenen in een frequentietabel</w:t>
              <w:br/>
              <w:t xml:space="preserve"/>
              <w:br/>
              <w:t xml:space="preserve">deze frequenties van gegevens uit concrete situaties in kranten, tijdschriften, internetpagina’s interpreteren</w:t>
              <w:br/>
              <w:t xml:space="preserve"/>
              <w:br/>
              <w:t xml:space="preserve">het gebruik van statistiek in de media interpreteren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centrummaten van individuele en gegroepeerde gegevens: gemiddelde, mediaan, modus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centrummaten berekenen of bepalen met behulp van ICT</w:t>
              <w:br/>
              <w:t xml:space="preserve"/>
              <w:br/>
              <w:t xml:space="preserve">deze centrummaten interpreteren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spreidingsmaten van individuele en gegroepeerde gegevens: variatiebreedte, standaardafwijking, kwartielen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spreidingsmaten berekenen of bepalen met behulp van ICT</w:t>
              <w:br/>
              <w:t xml:space="preserve"/>
              <w:br/>
              <w:t xml:space="preserve">deze spreidingsmaten interpreteren</w:t>
              <w:br/>
              <w:t xml:space="preserve"/>
              <w:br/>
              <w:t xml:space="preserve">het gebruik van statistiek in de media interpreteren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grafische voorstellingen  van individuele of gegroepeerde gegevens: staafdiagram, histogram, ogief, boxplot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informatie aflezen uit deze voorstellingen en interpreteren</w:t>
              <w:br/>
              <w:t xml:space="preserve"/>
              <w:br/>
              <w:t xml:space="preserve">de juiste informatie terugvinden in een misleidende voorstelling</w:t>
              <w:br/>
              <w:t xml:space="preserve"/>
              <w:br/>
              <w:t xml:space="preserve">het gebruik van statistiek in de media interpreteren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experimentele en theoretische kans</w:t>
              <w:br/>
              <w:t xml:space="preserve"/>
              <w:br/>
              <w:t xml:space="preserve">de wet van Laplace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verschil herkennen tussen de experimentele en theoretische kans</w:t>
              <w:br/>
              <w:t xml:space="preserve"/>
              <w:br/>
              <w:t xml:space="preserve">de theoretische kans afleiden uit experimenten</w:t>
              <w:br/>
              <w:t xml:space="preserve"/>
              <w:br/>
              <w:t xml:space="preserve">deze wet gebruiken om kansen te berekenen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Wiskunde 2aso_bijlage formularium.pdf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wiskunde 2aso is een digitaal examen.</w:t>
      </w:r>
    </w:p>
    <w:p>
      <w:pPr>
        <w:jc w:val="both"/>
      </w:pPr>
      <w:r>
        <w:t xml:space="preserve">Vraag je je af hoe een digitaal examen verloopt? De uitleg over onze digitale examens, de instructies en heel wat voorbeeldvragen vind je op http://examencommissiesecundaironderwijs.be/examens.</w:t>
      </w:r>
    </w:p>
    <w:p>
      <w:pPr>
        <w:jc w:val="both"/>
      </w:pPr>
      <w:r>
        <w:t xml:space="preserve"/>
      </w:r>
    </w:p>
    <w:p>
      <w:pPr>
        <w:jc w:val="both"/>
      </w:pPr>
      <w:r>
        <w:t xml:space="preserve">Tijdens het examen stellen we</w:t>
      </w:r>
    </w:p>
    <w:p>
      <w:pPr>
        <w:jc w:val="both"/>
      </w:pPr>
      <w:r>
        <w:t xml:space="preserve">https://examencommissiesecundaironderwijs.be/rekenapps ter beschikking.</w:t>
      </w:r>
    </w:p>
    <w:p>
      <w:pPr>
        <w:jc w:val="both"/>
      </w:pPr>
      <w:r>
        <w:t xml:space="preserve"/>
      </w:r>
    </w:p>
    <w:p>
      <w:pPr>
        <w:jc w:val="both"/>
      </w:pPr>
      <w:r>
        <w:t xml:space="preserve">Je kan er thuis op voorhand vrij mee oefenen. Gebruik deze handleiding: https://wiki.geogebra.org/nl/Handleiding.</w:t>
      </w:r>
    </w:p>
    <w:p>
      <w:pPr>
        <w:jc w:val="both"/>
      </w:pPr>
      <w:r>
        <w:t xml:space="preserve">Neem zeker een kijkje in de lijst van beschikbare commando’s in GeoGebra: https://wiki.geogebra.org/nl/Categorie:Commando%27s.</w:t>
      </w:r>
    </w:p>
    <w:p>
      <w:pPr>
        <w:jc w:val="both"/>
      </w:pPr>
      <w:r>
        <w:t xml:space="preserve"/>
      </w:r>
    </w:p>
    <w:p>
      <w:pPr>
        <w:jc w:val="both"/>
      </w:pPr>
      <w:r>
        <w:t xml:space="preserve">Let op!</w:t>
      </w:r>
    </w:p>
    <w:p>
      <w:pPr>
        <w:jc w:val="both"/>
      </w:pPr>
      <w:r>
        <w:t xml:space="preserve">Op het examen zelf kan je de handleiding en de lijst van commando’s niet gebruiken. </w:t>
      </w:r>
    </w:p>
    <w:p>
      <w:pPr>
        <w:jc w:val="both"/>
      </w:pPr>
      <w:r>
        <w:t xml:space="preserve">Wij stellen niet alles waarmee je thuis oefent ter beschikking maar beperken ons tot toepassingen die hierboven staan opgesomd.</w:t>
      </w:r>
    </w:p>
    <w:p>
      <w:pPr>
        <w:jc w:val="both"/>
      </w:pPr>
      <w:r>
        <w:t xml:space="preserve"/>
      </w:r>
    </w:p>
    <w:p>
      <w:pPr>
        <w:jc w:val="both"/>
      </w:pPr>
      <w:r>
        <w:t xml:space="preserve">De digitale rekenmachine op de chrome-boxen in het examencentrum kan je hier downloaden om te oefenen: https://chrome.google.com/webstore/detail/calculator/joodangkbfjnajiiifokapkpmhfnpleo?hl=nl</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 Een balpen</w:t>
      </w:r>
    </w:p>
    <w:p>
      <w:pPr>
        <w:jc w:val="both"/>
      </w:pPr>
      <w:r>
        <w:t xml:space="preserve">- Kladpapier</w:t>
      </w:r>
    </w:p>
    <w:p>
      <w:pPr>
        <w:jc w:val="both"/>
      </w:pPr>
      <w:r>
        <w:t xml:space="preserve">- Het formularium</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vragen: invulvragen, sleepvragen, dropdownvragen, interpretatie van afbeeldingen en tabellen, meerkeuzevragen. Er is geen giscorrectie. </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
      </w:r>
    </w:p>
    <w:p>
      <w:pPr>
        <w:jc w:val="both"/>
      </w:pPr>
      <w:r>
        <w:t xml:space="preserve">-	herken en begrijp je de wiskundige symbolen en notaties </w:t>
      </w:r>
    </w:p>
    <w:p>
      <w:pPr>
        <w:jc w:val="both"/>
      </w:pPr>
      <w:r>
        <w:t xml:space="preserve">-	voer je de bewerkingen met getallen vlot uit</w:t>
      </w:r>
    </w:p>
    <w:p>
      <w:pPr>
        <w:jc w:val="both"/>
      </w:pPr>
      <w:r>
        <w:t xml:space="preserve">-	pas je correct de reken- en tekenregels toe waar nodig en gevraagd</w:t>
      </w:r>
    </w:p>
    <w:p>
      <w:pPr>
        <w:jc w:val="both"/>
      </w:pPr>
      <w:r>
        <w:t xml:space="preserve">-       duid je het juiste antwoord aan om een punt te scoren</w:t>
      </w:r>
    </w:p>
    <w:p>
      <w:pPr>
        <w:jc w:val="both"/>
      </w:pPr>
      <w:r>
        <w:t xml:space="preserve">-       vul je je antwoord in met de juiste wiskundige notatie </w:t>
      </w:r>
    </w:p>
    <w:p>
      <w:pPr>
        <w:jc w:val="both"/>
      </w:pPr>
      <w:r>
        <w:t xml:space="preserve">-	rond je zinvol af</w:t>
      </w:r>
    </w:p>
    <w:p>
      <w:pPr>
        <w:jc w:val="both"/>
      </w:pPr>
      <w:r>
        <w:t xml:space="preserve">-	gebruik je correct en efficiënt ICT</w:t>
      </w:r>
    </w:p>
    <w:p>
      <w:pPr>
        <w:jc w:val="both"/>
      </w:pPr>
      <w:r>
        <w:t xml:space="preserve">Op het platform worden de punten van het examen weergegeven op 100. De componenten hebben echter een verschillend gewicht.</w:t>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Meetkunde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Getallenleer en algebra</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Reële functies</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Statistiek</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15%</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boeken of cursussen kopen in een (online of tweedehands-) boekenhandel of ontlenen in een bibliotheek.</w:t>
        <w:br/>
        <w:t xml:space="preserve">Bij elke nieuwe editie van de vakfiche actualiseren we deze bibliografie. Toch is het best mogelijk dat bepaalde werken niet meer verkrijgbaar zijn of dat nieuwe werken die al op de markt zijn nog niet zijn opgenomen.</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Hieronder vind je enkele handboeken die vaak gebruikt worden in het secundair onderwijs. Ze bieden je voldoende ondersteuning om zelfstandig de leerstof te verwerken dankzij elektronische hulpmiddelen zoals oefeningen die de uitgever aanbiedt bij het handboek.</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Matrix Wiskunde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Van Basis tot Limiet</w:t>
              <w:br/>
              <w:t xml:space="preserve"/>
              <w:br/>
              <w:t xml:space="preserve">Nando</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Die Keure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www.diekeure.be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Delta Nova </w:t>
              <w:br/>
              <w:t xml:space="preserve"/>
              <w:br/>
              <w:t xml:space="preserve">WP+ </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Pienter</w:t>
              <w:br/>
              <w:t xml:space="preserve"/>
              <w:br/>
              <w:t xml:space="preserve">Argument </w:t>
              <w:br/>
              <w:t xml:space="preserve"/>
              <w:br/>
              <w:t xml:space="preserve">Kruispunt </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