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fysica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Fysica  is immers een wetenschap waar je bijna dagelijks mee wordt geconfronteerd.  Denk maar aan:</w:t>
      </w:r>
    </w:p>
    <w:p>
      <w:r>
        <w:rPr/>
        <w:t xml:space="preserve">&amp;raquo;       Waarom vergroot een vergrootglas?</w:t>
      </w:r>
    </w:p>
    <w:p>
      <w:r>
        <w:rPr/>
        <w:t xml:space="preserve">&amp;raquo;       Hoe werkt het remsysteem van een auto?</w:t>
      </w:r>
    </w:p>
    <w:p>
      <w:r>
        <w:rPr/>
        <w:t xml:space="preserve">&amp;raquo;       Hoe efficiënt is een spaarlamp?...</w:t>
      </w:r>
    </w:p>
    <w:p>
      <w:r>
        <w:rPr/>
        <w:t xml:space="preserve">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dat het gebruik van onderhoudsproducten gevaren kunnen inhouden.</w:t>
      </w:r>
    </w:p>
    <w:p>
      <w:r>
        <w:rP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je bewust van de eindigheid van het gebruik van voedsel- en grondstofvoorraden? Besef je dat door het gebruik en recycleren van regenwater er heel wat bespaard kan worden op het waterverbruik? Ben je je bewust van de CO2-problematiek? Begrijp je het belang van de aanleg van ecoducten?  Niet alleen wetenschap en techniek moeten goede oplossingen vinden maar ook jij als individu kan je verantwoordelijkheid nemen om bij te dragen tot een duurzame maatschappij.</w:t>
      </w:r>
    </w:p>
    <w:p>
      <w:r>
        <w:rPr/>
        <w:t xml:space="preserve"/>
      </w:r>
      <w:r>
        <w:rPr>
          <w:color w:val="00B050"/>
        </w:rPr>
        <w:t/>
      </w:r>
    </w:p>
    <w:p w14:paraId="70391787" w14:textId="3DB223A8" w:rsidR="00047953" w:rsidRDefault="001D02B3" w:rsidP="0082741A">
      <w:r>
        <w:rPr>
          <w:color w:val="00B050"/>
        </w:rPr>
        <w:t/>
      </w:r>
      <w:r>
        <w:t/>
      </w:r>
      <w:r>
        <w:rPr/>
        <w:t xml:space="preserve">Voor jezelf is het dus belangrijk dat je tijdens de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r>
    </w:p>
    <w:p>
      <w:r>
        <w:rPr/>
        <w:t xml:space="preserve">Bovendien behoort wetenschap en dus ook fysica tot onze culturele ontwikkeling.  Voorbeelden zoals hersenonderzoek met behulp van MRI- of PET-scan, de ecolabels van elektrische toestellen die ons milieubewust maken,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materiaal dat je dagelijks gebruikt.  Bij deze opdrachten worden onderzoekende vragen gesteld waarop je een hypothese of verwachting probeert te formuleren.  Om op deze vragen te antwoorden heb je voorkennis of extra informatie nodig die je moet opzoeken.  Hoe je te werk gaat om de opdracht uit te voeren, wordt telkens uitvoerig beschreven.  De waarnemingen van deze opdracht geef je weer in woorden, een tabel en/of grafiek. Op het examen krijg je een aantal reflectievragen.</w:t>
      </w:r>
    </w:p>
    <w:p>
      <w:r>
        <w:rPr/>
        <w:t xml:space="preserve">Om de realiteit onderzoekend te benaderen, te begrijpen en te verklaren, moet je wel voldoende vaardigheden beheersen en voldoende wetenschappelijke basiskennis hebben. Dat betekent dat je wetenschappelijke principes en begrippen in het dagelijkse leven kan herkennen, benoemen en actief gebruiken. Op het examen moet je hierover vragen beantwoorden.</w:t>
      </w:r>
    </w:p>
    <w:p>
      <w:r>
        <w:rP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EENHEDEN, GROOTHEDEN EN MEETRESULTATEN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SNELHEID en KRACHT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MATERIE en DRUK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ENERGIE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EENHEDEN, GROOTHEDEN EN MEETRESULTATEN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SI-eenheden en grootheden  zoals vermeld in bijlage 1</w:t>
              <w:br/>
              <w:t xml:space="preserve"/>
              <w:br/>
              <w:t xml:space="preserve">voorvoegsels zoals vermeld in bijlage 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grootheid en een eenheid</w:t>
              <w:br/>
              <w:t xml:space="preserve"/>
              <w:br/>
              <w:t xml:space="preserve">de SI-eenheden benoemen en de correcte symbolen gebruiken</w:t>
              <w:br/>
              <w:t xml:space="preserve"/>
              <w:br/>
              <w:t xml:space="preserve">afgeleide eenheden omzetten naar SI-eenheden</w:t>
              <w:br/>
              <w:t xml:space="preserve"/>
              <w:br/>
              <w:t xml:space="preserve">voorvoegsels herkennen en benoemen</w:t>
              <w:br/>
              <w:t xml:space="preserve"/>
              <w:br/>
              <w:t xml:space="preserve">voorvoegsels gebruiken bij omzettingen tussen eenheden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 van de 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manier waarop de eenheid 'meter’ vroeger werd gedefinieerd en nu wordt gedefinieerd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beduidende cijfers</w:t>
              <w:br/>
              <w:t xml:space="preserve"/>
              <w:br/>
              <w:t xml:space="preserve">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beduidende cijfers toepassen bij de notatie van een meetresultaat of een berekening met meetresultaten</w:t>
              <w:br/>
              <w:t xml:space="preserve"/>
              <w:br/>
              <w:t xml:space="preserve">de wetenschappelijke notatie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SNELHEID en KRACHT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SNELHEID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w:t>
              <w:br/>
              <w:t xml:space="preserve"/>
              <w:br/>
              <w:t xml:space="preserve">snelheid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snelheid definiëren</w:t>
              <w:br/>
              <w:t xml:space="preserve"/>
              <w:br/>
              <w:t xml:space="preserve">de kenmerken van snelheid als vector herkennen</w:t>
              <w:br/>
              <w:t xml:space="preserve"/>
              <w:br/>
              <w:t xml:space="preserve">de zin, richting en grootte van de snelheidsvector aangeven in concrete voorbeelden</w:t>
              <w:br/>
              <w:t xml:space="preserve"/>
              <w:br/>
              <w:t xml:space="preserve">km/h en m/s omzetten naar elkaar</w:t>
              <w:br/>
              <w:t xml:space="preserve"/>
              <w:br/>
              <w:t xml:space="preserve">de snelheid berekenen van een eenparige rechtlijnige beweging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 van snelheid in functie van de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x(t)- en v(t)-grafiek tekenen van een eenparige rechtlijnige beweging</w:t>
              <w:br/>
              <w:t xml:space="preserve"/>
              <w:br/>
              <w:t xml:space="preserve">een x(t)- en v(t)-grafiek van een eenparige rechtlijnige beweging interpreteren</w:t>
              <w:br/>
              <w:t xml:space="preserve"/>
              <w:br/>
              <w:t xml:space="preserve">de afgelegde weg  berekenen aan de hand van een v(t)-grafiek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KRACHT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kracht</w:t>
              <w:br/>
              <w:t xml:space="preserve"/>
              <w:br/>
              <w:t xml:space="preserve">kracht als vector</w:t>
              <w:br/>
              <w:t xml:space="preserve"/>
              <w:br/>
              <w:t xml:space="preserve">resulterende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kracht en de effecten van een kracht beschrijven</w:t>
              <w:br/>
              <w:t xml:space="preserve"/>
              <w:br/>
              <w:t xml:space="preserve">krachtwerking door contact onderscheiden van krachtwerking op afstand</w:t>
              <w:br/>
              <w:t xml:space="preserve"/>
              <w:br/>
              <w:t xml:space="preserve">krachtwerking door contact en krachtwerking op afstand illustreren met concrete voorbeelden</w:t>
              <w:br/>
              <w:t xml:space="preserve"/>
              <w:br/>
              <w:t xml:space="preserve">de kenmerken van kracht als vector herkennen en benoemen in concrete voorbeelden</w:t>
              <w:br/>
              <w:t xml:space="preserve"/>
              <w:br/>
              <w:t xml:space="preserve">een kracht voorstellen als een vector door de richting, de zin en de grootte te bepalen</w:t>
              <w:br/>
              <w:t xml:space="preserve"/>
              <w:br/>
              <w:t xml:space="preserve">de grootte berekenen van de resulterende kracht bij krachten volgens dezelfde richting</w:t>
              <w:br/>
              <w:t xml:space="preserve"/>
              <w:br/>
              <w:t xml:space="preserve">de richting, de zin en de grootte van de resulterende krachtvector tekenen bij krachten volgens dezelfde richting en bij krachten met verschillende richtingen</w:t>
              <w:br/>
              <w:t xml:space="preserve"/>
              <w:br/>
              <w:t xml:space="preserve">een kracht langs een helling ontbinden in zijn componenten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 en derde wet van Newton</w:t>
              <w:br/>
              <w:t xml:space="preserve"/>
              <w:br/>
              <w:t xml:space="preserve">versnelling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eerste wet van Newton definiëren</w:t>
              <w:br/>
              <w:t xml:space="preserve"/>
              <w:br/>
              <w:t xml:space="preserve">de eerste wet van Newton toepassen om de bewegingstoestand in concrete voorbeelden te verklaren</w:t>
              <w:br/>
              <w:t xml:space="preserve"/>
              <w:br/>
              <w:t xml:space="preserve">het begrip versnelling formuleren</w:t>
              <w:br/>
              <w:t xml:space="preserve"/>
              <w:br/>
              <w:t xml:space="preserve">de versnelling van een voorwerp verklaren aan de hand van de krachten die er op werken</w:t>
              <w:br/>
              <w:t xml:space="preserve"/>
              <w:br/>
              <w:t xml:space="preserve">de derde wet van Newton definiëren</w:t>
              <w:br/>
              <w:t xml:space="preserve"/>
              <w:br/>
              <w:t xml:space="preserve">de derde wet van Newton toepassen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zwaartekracht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zwaartekracht berekenen op de massa van een voorwerp</w:t>
              <w:br/>
              <w:t xml:space="preserve"/>
              <w:br/>
              <w:t xml:space="preserve">het verschil beschrijven tussen massa en gewicht</w:t>
              <w:br/>
              <w:t xml:space="preserve"/>
              <w:br/>
              <w:t xml:space="preserve">de zwaarteveldsterkte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veerkracht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veerconstante van een veer berekenen</w:t>
              <w:br/>
              <w:t xml:space="preserve"/>
              <w:br/>
              <w:t xml:space="preserve">het verband tussen de uitrekking van een veer en de uitgeoefende kracht grafisch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moment van een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moment berekenen in concrete toepassingen</w:t>
              <w:br/>
              <w:t xml:space="preserve"/>
              <w:br/>
              <w:t xml:space="preserve">de verandering van de rotatiebeweging verklaren van een voorwerp met een vaste rotatie-as</w:t>
              <w:br/>
              <w:t xml:space="preserve"/>
              <w:br/>
              <w:t xml:space="preserve">de werking verklaren van een hefboom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MATERIE en DRUK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massadichtheid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massadichtheid definiëren</w:t>
              <w:br/>
              <w:t xml:space="preserve"/>
              <w:br/>
              <w:t xml:space="preserve">de massadichtheid berekenen van een vaste stof, vloeistof of gas</w:t>
              <w:br/>
              <w:t xml:space="preserve"/>
              <w:br/>
              <w:t xml:space="preserve">de experimentele bepaling van de massadichtheid beschrijven voor  een vaste stof, een vloeistof en een gas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DRUK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druk</w:t>
              <w:br/>
              <w:t xml:space="preserve"/>
              <w:br/>
              <w:t xml:space="preserve">eenheden voor druk</w:t>
              <w:br/>
              <w:t xml:space="preserve"/>
              <w:br/>
              <w:t xml:space="preserve">Pa en bar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druk definiëren</w:t>
              <w:br/>
              <w:t xml:space="preserve"/>
              <w:br/>
              <w:t xml:space="preserve">de grootte van de druk berekenen</w:t>
              <w:br/>
              <w:t xml:space="preserve"/>
              <w:br/>
              <w:t xml:space="preserve">de juiste eenheden voor druk gebruiken en omzetten naar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hydrostatische druk</w:t>
              <w:br/>
              <w:t xml:space="preserve"/>
              <w:br/>
              <w:t xml:space="preserve">beginsel van Pascal</w:t>
              <w:br/>
              <w:t xml:space="preserve"/>
              <w:br/>
              <w:t xml:space="preserve">toepassingen:</w:t>
              <w:br/>
              <w:t xml:space="preserve"/>
              <w:br/>
              <w:t xml:space="preserve">remsysteem van een auto</w:t>
            </w:r>
          </w:p>
          <w:p>
            <w:pPr>
              <w:pStyle w:val="ListParagraph"/>
              <w:numPr>
                <w:ilvl w:val="0"/>
                <w:numId w:val="8"/>
              </w:numPr>
            </w:pPr>
            <w:r>
              <w:rPr/>
              <w:t xml:space="preserve">hydraulische pers</w:t>
            </w:r>
          </w:p>
          <w:p>
            <w:pPr>
              <w:pStyle w:val="ListParagraph"/>
              <w:numPr>
                <w:ilvl w:val="0"/>
                <w:numId w:val="8"/>
              </w:numPr>
            </w:pPr>
            <w:r>
              <w:rPr/>
              <w:t xml:space="preserve">watertoren</w:t>
            </w:r>
          </w:p>
          <w:p>
            <w:pPr>
              <w:pStyle w:val="ListParagraph"/>
              <w:numPr>
                <w:ilvl w:val="0"/>
                <w:numId w:val="8"/>
              </w:numPr>
            </w:pPr>
            <w:r>
              <w:rPr/>
              <w:t xml:space="preserve">manometer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opsommen die de druk op een vloeistof bepalen</w:t>
              <w:br/>
              <w:t xml:space="preserve"/>
              <w:br/>
              <w:t xml:space="preserve">de grootte van de hydrostatische druk berekenen</w:t>
              <w:br/>
              <w:t xml:space="preserve"/>
              <w:br/>
              <w:t xml:space="preserve">de voortplanting van druk in een vloeistof verklaren aan de hand van gegeven toepassingen</w:t>
              <w:br/>
              <w:t xml:space="preserve"/>
              <w:br/>
              <w:t xml:space="preserve">de voortplanting van druk in een vloeistof toepassen bij een systeem van verbonden vaten</w:t>
              <w:br/>
              <w:t xml:space="preserve"/>
              <w:br/>
              <w:t xml:space="preserve">de totale druk berekenen in een vat gevuld met een vloeistof</w:t>
              <w:br/>
              <w:t xml:space="preserve"/>
              <w:br/>
              <w:t xml:space="preserve">de evenwichtsvoorwaarde toepassen voor twee niet-mengbare vloeistoffen in een U-vormige buis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Archimedes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gewichtsvermindering verklaren van ondergedompelde voorwerpen in een vloeistof of een gas</w:t>
              <w:br/>
              <w:t xml:space="preserve"/>
              <w:br/>
              <w:t xml:space="preserve">de opwaartse kracht berekenen en tekenen bij ondergedompelde voorwerpen in een vloeistof</w:t>
              <w:br/>
              <w:t xml:space="preserve"/>
              <w:br/>
              <w:t xml:space="preserve">de begrippen drijven, zweven en zinken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overdruk en onderdruk</w:t>
              <w:br/>
              <w:t xml:space="preserve"/>
              <w:br/>
              <w:t xml:space="preserve">atmosferische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onderdruk, overdruk en atmosferische druk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deeltjesmodel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druk uitgeoefend door een gas verklaren  aan de hand van  het deeltjesmodel</w:t>
              <w:br/>
              <w:t xml:space="preserve"/>
              <w:br/>
              <w:t xml:space="preserve">de verschillen opsommen  tussen een ideaal gas en een reëel gas</w:t>
              <w:br/>
              <w:t xml:space="preserve"/>
              <w:br/>
              <w:t xml:space="preserve">de toestandsfactoren van een ideaal gas opsommen en verklaren aan de hand van het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 tussen de toestandsgrootheden druk, volume en temperatuur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isochoor, isotherm en isobaar herkennen aan de hand van een grafiek</w:t>
              <w:br/>
              <w:t xml:space="preserve"/>
              <w:br/>
              <w:t xml:space="preserve">de afzonderlijke gaswetten afleiden en verklaren aan de hand van het deeltjesmodel</w:t>
              <w:br/>
              <w:t xml:space="preserve"/>
              <w:br/>
              <w:t xml:space="preserve">de algemene gaswet formuleren en toepassen met gebruik van de universele en specifieke gasconstante</w:t>
              <w:br/>
              <w:t xml:space="preserve"/>
              <w:br/>
              <w:t xml:space="preserve">de algemene gaswet  formuleren en toepassen voor een mengsel van ideale gassen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absolute nulpunt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beschrijven van het absolute nulpunt</w:t>
              <w:br/>
              <w:t xml:space="preserve"/>
              <w:br/>
              <w:t xml:space="preserve">de betekenis beschrijven van de absolute temperatuurschaal</w:t>
              <w:br/>
              <w:t xml:space="preserve"/>
              <w:br/>
              <w:t xml:space="preserve">de absolute temperatuur omzetten naar de 'Celsius-temperatuur'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ENERGIE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4.1	WARMTE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inwendige energie</w:t>
              <w:br/>
              <w:t xml:space="preserve"/>
              <w:br/>
              <w:t xml:space="preserve">warmtegeleiding, warmtestraling en convectie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temperatuur en warmte beschrijven</w:t>
              <w:br/>
              <w:t xml:space="preserve"/>
              <w:br/>
              <w:t xml:space="preserve">het begrip inwendige energie definiëren</w:t>
              <w:br/>
              <w:t xml:space="preserve"/>
              <w:br/>
              <w:t xml:space="preserve">de inwendige energie beschrijven aan de hand van het deeltjesmodel</w:t>
              <w:br/>
              <w:t xml:space="preserve"/>
              <w:br/>
              <w:t xml:space="preserve">het verschil beschrijven tussen warmtehoeveelheid en temperatuurwijziging</w:t>
              <w:br/>
              <w:t xml:space="preserve"/>
              <w:br/>
              <w:t xml:space="preserve">de warmtehoeveelheid berekenen</w:t>
              <w:br/>
              <w:t xml:space="preserve"/>
              <w:br/>
              <w:t xml:space="preserve">het verschil beschrijven tussen warmtegeleiding, warmtestraling en convectie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warmtecapaciteit en specifieke warmtecapaciteit</w:t>
              <w:br/>
              <w:t xml:space="preserve"/>
              <w:br/>
              <w:t xml:space="preserve">deeltjesmodel van materie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warmtecapaciteit en specifieke warmtecapaciteit definiëren</w:t>
              <w:br/>
              <w:t xml:space="preserve"/>
              <w:br/>
              <w:t xml:space="preserve">het ontstaan van het thermisch evenwicht in een geïsoleerd systeem toelichten met behulp van het deeltjesmodel</w:t>
              <w:br/>
              <w:t xml:space="preserve"/>
              <w:br/>
              <w:t xml:space="preserve">de specifieke warmtecapaciteit berekenen aan de hand van de energie-uitwisseling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latente warmte en merkbare warmte</w:t>
              <w:br/>
              <w:t xml:space="preserve"/>
              <w:br/>
              <w:t xml:space="preserve">warmte-uitwisseling tijdens faseovergangen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latente- en merkbare warmte</w:t>
              <w:br/>
              <w:t xml:space="preserve"/>
              <w:br/>
              <w:t xml:space="preserve">de temperatuurwijziging in functie van toegevoerde of afgevoerde energie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smelten en stollen</w:t>
              <w:br/>
              <w:t xml:space="preserve"/>
              <w:br/>
              <w:t xml:space="preserve">specifieke smeltings- en stollingswarmte</w:t>
              <w:br/>
              <w:t xml:space="preserve"/>
              <w:br/>
              <w:t xml:space="preserve">smeltcurve en stolcurve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smelten en stollen van een stof verklaren aan de hand van het deeltjesmodel</w:t>
              <w:br/>
              <w:t xml:space="preserve"/>
              <w:br/>
              <w:t xml:space="preserve">de specifieke smeltingswarmte (stollingswarmte) definiëren en toepassen</w:t>
              <w:br/>
              <w:t xml:space="preserve"/>
              <w:br/>
              <w:t xml:space="preserve">de verandering van volume en massadichtheid bij smelten en stollen toelichten aan de hand van het deeltjesmodel</w:t>
              <w:br/>
              <w:t xml:space="preserve"/>
              <w:br/>
              <w:t xml:space="preserve">een smeltcurve of stolcurve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verdampen en condenseren</w:t>
              <w:br/>
              <w:t xml:space="preserve"/>
              <w:br/>
              <w:t xml:space="preserve">specifieke verdampings- en condensatiewarmte</w:t>
              <w:br/>
              <w:t xml:space="preserve"/>
              <w:br/>
              <w:t xml:space="preserve">verzadigde en onverzadigde damp</w:t>
              <w:br/>
              <w:t xml:space="preserve"/>
              <w:br/>
              <w:t xml:space="preserve">p(T)-diagram en dampspanningslijn</w:t>
              <w:br/>
              <w:t xml:space="preserve"/>
              <w:br/>
              <w:t xml:space="preserve">kritische temperatuur en kritische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verdampen en condenseren van een stof verklaren aan de hand van het deeltjesmodel</w:t>
              <w:br/>
              <w:t xml:space="preserve"/>
              <w:br/>
              <w:t xml:space="preserve">de specifieke verdampingswarmte (condensatiewarmte) definiëren en toepassen</w:t>
              <w:br/>
              <w:t xml:space="preserve"/>
              <w:br/>
              <w:t xml:space="preserve">bij verdamping in een afgesloten luchtledige ruimte het ontstaan van een onverzadigde en verzadigde damp verklaren aan de hand van het deeltjesmodel</w:t>
              <w:br/>
              <w:t xml:space="preserve"/>
              <w:br/>
              <w:t xml:space="preserve">de fasetoestand (damp-vloeistof) bij een bepaalde druk en temperatuur toelichten aan de hand van een p(T)-diagram</w:t>
              <w:br/>
              <w:t xml:space="preserve"/>
              <w:br/>
              <w:t xml:space="preserve">het onderscheid tussen een gas en een damp verklaren aan de hand van de begrippen kritische temperatuur en kritische druk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sublimeren</w:t>
              <w:br/>
              <w:t xml:space="preserve"/>
              <w:br/>
              <w:t xml:space="preserve">specifieke sublimatiewarmte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sublimeren van een stof verklaren aan de hand van het deeltjesmodel</w:t>
              <w:br/>
              <w:t xml:space="preserve"/>
              <w:br/>
              <w:t xml:space="preserve">de specifieke sublimatiewarmte definiëren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ENERGIEOMZETTINGEN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 definiëren en toepassen</w:t>
              <w:br/>
              <w:t xml:space="preserve"/>
              <w:br/>
              <w:t xml:space="preserve">de arbeid berekenen voor een constante kracht, evenwijdig met de verplaatsing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vermogen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vermogen definiëren  en toepassen</w:t>
              <w:br/>
              <w:t xml:space="preserve"/>
              <w:br/>
              <w:t xml:space="preserve">het vermogen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w:t>
              <w:br/>
              <w:t xml:space="preserve"/>
              <w:br/>
              <w:t xml:space="preserve"/>
            </w:r>
          </w:p>
          <w:p>
            <w:pPr>
              <w:pStyle w:val="ListParagraph"/>
              <w:numPr>
                <w:ilvl w:val="0"/>
                <w:numId w:val="9"/>
              </w:numPr>
            </w:pPr>
            <w:r>
              <w:rPr/>
              <w:t xml:space="preserve">potentiële energie</w:t>
            </w:r>
          </w:p>
          <w:p>
            <w:pPr>
              <w:pStyle w:val="ListParagraph"/>
              <w:numPr>
                <w:ilvl w:val="0"/>
                <w:numId w:val="9"/>
              </w:numPr>
            </w:pPr>
            <w:r>
              <w:rPr/>
              <w:t xml:space="preserve">kinetische energie</w:t>
            </w:r>
          </w:p>
          <w:p>
            <w:pPr>
              <w:pStyle w:val="ListParagraph"/>
              <w:numPr>
                <w:ilvl w:val="0"/>
                <w:numId w:val="9"/>
              </w:numPr>
            </w:pPr>
            <w:r>
              <w:rPr/>
              <w:t xml:space="preserve">elastische energie</w:t>
            </w:r>
          </w:p>
          <w:p>
            <w:pPr>
              <w:pStyle w:val="ListParagraph"/>
              <w:numPr>
                <w:ilvl w:val="0"/>
                <w:numId w:val="9"/>
              </w:numPr>
            </w:pPr>
            <w:r>
              <w:rPr/>
              <w:t xml:space="preserve">andere energievormen</w:t>
            </w:r>
          </w:p>
          <w:p>
            <w:r>
              <w:rPr/>
              <w:t xml:space="preserve"/>
              <w:br/>
              <w:t xml:space="preserve"/>
              <w:br/>
              <w:t xml:space="preserve"/>
              <w:br/>
              <w:t xml:space="preserve">toepassingen:</w:t>
            </w:r>
          </w:p>
          <w:p>
            <w:pPr>
              <w:pStyle w:val="ListParagraph"/>
              <w:numPr>
                <w:ilvl w:val="0"/>
                <w:numId w:val="10"/>
              </w:numPr>
            </w:pPr>
            <w:r>
              <w:rPr/>
              <w:t xml:space="preserve">waterkrachtcentrale</w:t>
            </w:r>
          </w:p>
          <w:p>
            <w:pPr>
              <w:pStyle w:val="ListParagraph"/>
              <w:numPr>
                <w:ilvl w:val="0"/>
                <w:numId w:val="10"/>
              </w:numPr>
            </w:pPr>
            <w:r>
              <w:rPr/>
              <w:t xml:space="preserve">elektrische apparaten</w:t>
            </w:r>
          </w:p>
          <w:p>
            <w:pPr>
              <w:pStyle w:val="ListParagraph"/>
              <w:numPr>
                <w:ilvl w:val="0"/>
                <w:numId w:val="10"/>
              </w:numPr>
            </w:pPr>
            <w:r>
              <w:rPr/>
              <w:t xml:space="preserve">benjispringen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volgende formules gebruiken in een berekening:</w:t>
              <w:br/>
              <w:t xml:space="preserve"/>
              <w:br/>
              <w:t xml:space="preserve"/>
            </w:r>
          </w:p>
          <w:p>
            <w:pPr>
              <w:pStyle w:val="ListParagraph"/>
              <w:numPr>
                <w:ilvl w:val="0"/>
                <w:numId w:val="11"/>
              </w:numPr>
            </w:pPr>
            <w:r>
              <w:rPr/>
              <w:t xml:space="preserve">de formule voor potentiële energie in het zwaarteveld</w:t>
            </w:r>
          </w:p>
          <w:p>
            <w:pPr>
              <w:pStyle w:val="ListParagraph"/>
              <w:numPr>
                <w:ilvl w:val="0"/>
                <w:numId w:val="11"/>
              </w:numPr>
            </w:pPr>
            <w:r>
              <w:rPr/>
              <w:t xml:space="preserve">de formule voor kinetische energie</w:t>
            </w:r>
          </w:p>
          <w:p>
            <w:pPr>
              <w:pStyle w:val="ListParagraph"/>
              <w:numPr>
                <w:ilvl w:val="0"/>
                <w:numId w:val="11"/>
              </w:numPr>
            </w:pPr>
            <w:r>
              <w:rPr/>
              <w:t xml:space="preserve">de formule voor elastische potentiële energie</w:t>
              <w:br/>
              <w:t xml:space="preserve"/>
            </w:r>
          </w:p>
          <w:p>
            <w:r>
              <w:rPr/>
              <w:t xml:space="preserve"/>
              <w:br/>
              <w:t xml:space="preserve"/>
              <w:br/>
              <w:t xml:space="preserve"/>
              <w:br/>
              <w:t xml:space="preserve">mechanische energie en andere vormen van energie zoals elektrische energie, chemische energie of kernenergie herkennen in concrete toepassingen uit het dagelijkse leven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behoud van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 van behoud van energie definiëren</w:t>
              <w:br/>
              <w:t xml:space="preserve"/>
              <w:br/>
              <w:t xml:space="preserve">de wet van behoud van energie toepassen in een berekening</w:t>
              <w:br/>
              <w:t xml:space="preserve"/>
              <w:br/>
              <w:t xml:space="preserve">de verschillende vormen van energie benoemen en energieverliezen bij energieomzettingen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rendement</w:t>
              <w:br/>
              <w:t xml:space="preserve"/>
              <w:br/>
              <w:t xml:space="preserve">toepassingen:</w:t>
            </w:r>
          </w:p>
          <w:p>
            <w:pPr>
              <w:pStyle w:val="ListParagraph"/>
              <w:numPr>
                <w:ilvl w:val="0"/>
                <w:numId w:val="12"/>
              </w:numPr>
            </w:pPr>
            <w:r>
              <w:rPr/>
              <w:t xml:space="preserve">energiebesparende lampen</w:t>
            </w:r>
          </w:p>
          <w:p>
            <w:pPr>
              <w:pStyle w:val="ListParagraph"/>
              <w:numPr>
                <w:ilvl w:val="0"/>
                <w:numId w:val="12"/>
              </w:numPr>
            </w:pPr>
            <w:r>
              <w:rPr/>
              <w:t xml:space="preserve">isolatie van woningen</w:t>
            </w:r>
          </w:p>
          <w:p>
            <w:pPr>
              <w:pStyle w:val="ListParagraph"/>
              <w:numPr>
                <w:ilvl w:val="0"/>
                <w:numId w:val="12"/>
              </w:numPr>
            </w:pPr>
            <w:r>
              <w:rPr/>
              <w:t xml:space="preserve">zonneboiler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rendement van een energieomzetting definiëren en berekenen</w:t>
              <w:br/>
              <w:t xml:space="preserve"/>
              <w:br/>
              <w:t xml:space="preserve">energiebesparende toepassingen aan de hand van het rendement evalueren in concrete toepassingen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4.3	LICHT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 van het licht</w:t>
              <w:br/>
              <w:t xml:space="preserve"/>
              <w:br/>
              <w:t xml:space="preserve">lichtbron, convergerende en divergerende lichtstraal</w:t>
              <w:br/>
              <w:t xml:space="preserve"/>
              <w:br/>
              <w:t xml:space="preserve">kern- en bijschaduw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lichtbron, lichtstraal en de voortplanting van het licht beschrijven</w:t>
              <w:br/>
              <w:t xml:space="preserve"/>
              <w:br/>
              <w:t xml:space="preserve">de eigenschappen van evenwijdige, convergerende en divergerende lichtbundels benoemen en tekenen</w:t>
              <w:br/>
              <w:t xml:space="preserve"/>
              <w:br/>
              <w:t xml:space="preserve">de kern- en bijschaduw 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een vlakke spiegel</w:t>
              <w:br/>
              <w:t xml:space="preserve"/>
              <w:br/>
              <w:t xml:space="preserve">invallende straal, invalspunt, normaal, invalshoek en weerkaatste straal</w:t>
              <w:br/>
              <w:t xml:space="preserve"/>
              <w:br/>
              <w:t xml:space="preserve">terugkaatsingswetten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invallende straal, invalspunt, normaal, invalshoek en weerkaatste straal aanduiden op een tekening</w:t>
              <w:br/>
              <w:t xml:space="preserve"/>
              <w:br/>
              <w:t xml:space="preserve">het beeld bij een vlakke spiegel tekenen en de eigenschappen van het beeld toelichten</w:t>
              <w:br/>
              <w:t xml:space="preserve"/>
              <w:br/>
              <w:t xml:space="preserve">de terugkaatsingwetten opsommen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breking van licht</w:t>
              <w:br/>
              <w:t xml:space="preserve"/>
              <w:br/>
              <w:t xml:space="preserve">grensvlak, gebroken straal, brekingshoek</w:t>
              <w:br/>
              <w:t xml:space="preserve"/>
              <w:br/>
              <w:t xml:space="preserve">brekingsindex</w:t>
              <w:br/>
              <w:t xml:space="preserve"/>
              <w:br/>
              <w:t xml:space="preserve">brekingswet van Snellius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grensvlak, de gebroken straal en de brekingshoek aanduiden op een tekening</w:t>
              <w:br/>
              <w:t xml:space="preserve"/>
              <w:br/>
              <w:t xml:space="preserve">het brekingsverschijnsel verklaren en de stralengang tekenen</w:t>
              <w:br/>
              <w:t xml:space="preserve"/>
              <w:br/>
              <w:t xml:space="preserve">de schijnbare verhoging van een voorwerp onder water verklaren</w:t>
              <w:br/>
              <w:t xml:space="preserve"/>
              <w:br/>
              <w:t xml:space="preserve">de grenshoek en de totale terugkaatsing aanduiden in concrete voorbeelden zoals optische vezels, periscopen of verrekijkers</w:t>
              <w:br/>
              <w:t xml:space="preserve"/>
              <w:br/>
              <w:t xml:space="preserve">de brekingsindex definiëren</w:t>
              <w:br/>
              <w:t xml:space="preserve"/>
              <w:br/>
              <w:t xml:space="preserve">de brekingswet van Snellius toepassen in een berekening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de dunne bolle lens en het oog</w:t>
              <w:br/>
              <w:t xml:space="preserve"/>
              <w:br/>
              <w:t xml:space="preserve">virtueel of reëel beeld, rechtopstaand of omgekeerd beeld, vergroot of verkleind beeld</w:t>
              <w:br/>
              <w:t xml:space="preserve"/>
              <w:br/>
              <w:t xml:space="preserve">lenzenformule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bij een dunne bolle lens tekenen en de eigenschappen van het beeld toelichten</w:t>
              <w:br/>
              <w:t xml:space="preserve"/>
              <w:br/>
              <w:t xml:space="preserve">de lenzenformule voor dunne lenzen toepassen</w:t>
              <w:br/>
              <w:t xml:space="preserve"/>
              <w:br/>
              <w:t xml:space="preserve">de beeldvorming bij het menselijk oog verklaren</w:t>
              <w:br/>
              <w:t xml:space="preserve"/>
              <w:br/>
              <w:t xml:space="preserve">bijziendheid en verziendheid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optische toestellen: vergrootglas en fototoestel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bij het vergrootglas en het fototoestel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rubriek 'opdrachten' vind je een probleemstelling die je moet verwerken volgens een vast stappenplan. Thuis voer je onder begeleiding van een andere persoon zoals een van je ouders, de opdracht uit. Het is een vrij eenvoudig proefje. Je volgt daarbij de aanpak die we voorschrijven. Die aanpak is de natuurwetenschappelijke onderzoeksmethode:</w:t>
      </w:r>
    </w:p>
    <w:p>
      <w:pPr>
        <w:pStyle w:val="ListParagraph"/>
        <w:numPr>
          <w:ilvl w:val="0"/>
          <w:numId w:val="13"/>
        </w:numPr>
      </w:pPr>
      <w:r>
        <w:rPr/>
        <w:t xml:space="preserve">je vertrekt van een probleemstelling of een onderzoeksvraag,</w:t>
      </w:r>
    </w:p>
    <w:p>
      <w:pPr>
        <w:pStyle w:val="ListParagraph"/>
        <w:numPr>
          <w:ilvl w:val="0"/>
          <w:numId w:val="13"/>
        </w:numPr>
      </w:pPr>
      <w:r>
        <w:rPr/>
        <w:t xml:space="preserve">je voert het proefje uit volgens een voorgeschreven werkplan</w:t>
      </w:r>
    </w:p>
    <w:p>
      <w:pPr>
        <w:pStyle w:val="ListParagraph"/>
        <w:numPr>
          <w:ilvl w:val="0"/>
          <w:numId w:val="13"/>
        </w:numPr>
      </w:pPr>
      <w:r>
        <w:rPr/>
        <w:t xml:space="preserve">je trekt een besluit op basis van je waarnemingen en resultaten.</w:t>
      </w:r>
    </w:p>
    <w:p>
      <w:r>
        <w:rPr/>
        <w:t xml:space="preserve"/>
        <w:br/>
        <w:t xml:space="preserve"/>
      </w:r>
    </w:p>
    <w:p>
      <w:r>
        <w:rPr/>
        <w:t xml:space="preserve">Op de dag van het examen toetsen we of je effectief het proefje benaderd hebt volgens die aanpak.</w:t>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4"/>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5"/>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6"/>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7"/>
              </w:numPr>
            </w:pPr>
            <w:r>
              <w:rPr/>
              <w:t xml:space="preserve">grafieken en tabellen op een correcte wetenschappelijke manier tekenen</w:t>
            </w:r>
          </w:p>
          <w:p>
            <w:pPr>
              <w:pStyle w:val="ListParagraph"/>
              <w:numPr>
                <w:ilvl w:val="0"/>
                <w:numId w:val="17"/>
              </w:numPr>
            </w:pPr>
            <w:r>
              <w:rPr/>
              <w:t xml:space="preserve">waarnemingen en resultaten met de juiste wetenschappelijke terminologie noteren</w:t>
            </w:r>
          </w:p>
          <w:p>
            <w:pPr>
              <w:pStyle w:val="ListParagraph"/>
              <w:numPr>
                <w:ilvl w:val="0"/>
                <w:numId w:val="17"/>
              </w:numPr>
            </w:pPr>
            <w:r>
              <w:rPr/>
              <w:t xml:space="preserve">waarnemingen en resultaten vergelijken met de hypothese of verwachting</w:t>
            </w:r>
          </w:p>
          <w:p>
            <w:pPr>
              <w:pStyle w:val="ListParagraph"/>
              <w:numPr>
                <w:ilvl w:val="0"/>
                <w:numId w:val="17"/>
              </w:numPr>
            </w:pPr>
            <w:r>
              <w:rPr/>
              <w:t xml:space="preserve">eventuele afwijkingen verklaren, mogelijke oorzaken zoeken</w:t>
            </w:r>
          </w:p>
          <w:p>
            <w:pPr>
              <w:pStyle w:val="ListParagraph"/>
              <w:numPr>
                <w:ilvl w:val="0"/>
                <w:numId w:val="17"/>
              </w:numPr>
            </w:pPr>
            <w:r>
              <w:rPr/>
              <w:t xml:space="preserve">je resultaten, waarnemingen en besluiten vergelijken met andere resultaten</w:t>
            </w:r>
          </w:p>
          <w:p>
            <w:pPr>
              <w:pStyle w:val="ListParagraph"/>
              <w:numPr>
                <w:ilvl w:val="0"/>
                <w:numId w:val="17"/>
              </w:numPr>
            </w:pPr>
            <w:r>
              <w:rPr/>
              <w:t xml:space="preserve">een antwoord formuleren op de onderzoeksvraag in de juiste wetenschappelijke terminologie</w:t>
            </w:r>
          </w:p>
          <w:p>
            <w:pPr>
              <w:pStyle w:val="ListParagraph"/>
              <w:numPr>
                <w:ilvl w:val="0"/>
                <w:numId w:val="17"/>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Om je wetenschappelijke vaardigheden te ontwikkelen moet je thuis onder begeleiding de opdracht op de volgende bladzijden uitvoeren. Tijdens het examen krijg je daar enkele inhoudelijke vragen over. </w:t>
      </w:r>
    </w:p>
    <w:p>
      <w:pPr>
        <w:jc w:val="both"/>
      </w:pPr>
      <w:r>
        <w:t xml:space="preserve">Je mag je resultaten van deze opdracht meebrengen naar het examen.</w:t>
        <w:br/>
        <w:t/>
      </w:r>
      <w:r w:rsidRPr="003E4776">
        <w:t/>
      </w:r>
    </w:p>
    <w:p w14:paraId="5B5E3ED3" w14:textId="0FE7D0D3" w:rsidR="0076163F" w:rsidRDefault="0076163F" w:rsidP="0076163F">
      <w:r w:rsidRPr="003E4776">
        <w:t/>
      </w:r>
      <w:r>
        <w:t>Opdracht FYS2A.pdf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TI_84  Plus CE-T.pdf</w:t>
      </w:r>
      <w:r w:rsidRPr="003E4776">
        <w:t/>
      </w:r>
    </w:p>
    <w:p w14:paraId="499D1B0A" w14:textId="79267327" w:rsidR="0076163F" w:rsidRDefault="0076163F" w:rsidP="0076163F">
      <w:r w:rsidRPr="003E4776">
        <w:t/>
      </w:r>
      <w:r>
        <w:t>Bijlagen_FYS2A.pdf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fysica 2aso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Het examen bestaat uit verschillende delen:</w:t>
      </w:r>
    </w:p>
    <w:p>
      <w:pPr>
        <w:jc w:val="both"/>
      </w:pPr>
      <w:r>
        <w:t xml:space="preserve"/>
      </w:r>
    </w:p>
    <w:p>
      <w:pPr>
        <w:jc w:val="both"/>
      </w:pPr>
      <w:r>
        <w:t xml:space="preserve">Je begint met het eerste deel. Dit bevat vragen over de onderzoeksopdrachten. Je hebt maximaal 15 minuten om deze vragen te beantwoorden. Je kunt niet terugkeren naar dit onderdeel. Volg hiervoor de instructies op het scherm.</w:t>
      </w:r>
    </w:p>
    <w:p>
      <w:pPr>
        <w:jc w:val="both"/>
      </w:pPr>
      <w:r>
        <w:t xml:space="preserve"/>
      </w:r>
    </w:p>
    <w:p>
      <w:pPr>
        <w:jc w:val="both"/>
      </w:pPr>
      <w:r>
        <w:t xml:space="preserve">Daarna ga je verder met de rest van het examen.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het verslag van je onderzoeksopdracht</w:t>
      </w:r>
    </w:p>
    <w:p>
      <w:pPr>
        <w:jc w:val="both"/>
      </w:pPr>
      <w:r>
        <w:t xml:space="preserve">een grafisch rekentoestel Texas TI-84 Plus CE-T.</w:t>
      </w:r>
    </w:p>
    <w:p>
      <w:pPr>
        <w:jc w:val="both"/>
      </w:pPr>
      <w:r>
        <w:t xml:space="preserve">Dit is het enige grafische rekentoestel dat de Examencommissie toelaat vanaf 1 september 2018 voor het examen fysica.</w:t>
      </w:r>
    </w:p>
    <w:p>
      <w:pPr>
        <w:jc w:val="both"/>
      </w:pPr>
      <w:r>
        <w:t xml:space="preserve">Stel je rekenmachine in op 'Examenstand' voor je aan het examen begint. Doe dit  thuis. </w:t>
      </w:r>
    </w:p>
    <w:p>
      <w:pPr>
        <w:jc w:val="both"/>
      </w:pPr>
      <w:r>
        <w:t xml:space="preserve">Het niet instellen van de examenstand op je rekenmachine kan beschouwd worden als fraude.</w:t>
      </w:r>
    </w:p>
    <w:p>
      <w:pPr>
        <w:jc w:val="both"/>
      </w:pPr>
      <w:r>
        <w:t xml:space="preserve">Je vindt alle informatie over de rekenmachine en het instellen van de examenstand in de bijlages.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fysica dat je vindt als bijlage 3 in de vakfiche</w:t>
      </w:r>
    </w:p>
    <w:p>
      <w:pPr>
        <w:jc w:val="both"/>
      </w:pPr>
      <w:r>
        <w:t xml:space="preserve">een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Eenheden, grootheden en meetresultaten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Snelheid en kracht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 en druk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Warmte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Quark 3.2 en 4.2</w:t>
              <w:br/>
              <w:t xml:space="preserve"/>
              <w:br/>
              <w:t xml:space="preserve">Sirius 3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Interactie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secundair.diekeure.be</w:t>
              <w:br/>
              <w:t xml:space="preserve"/>
              <w:br/>
              <w:t xml:space="preserve">050 / 47 12 72</w:t>
              <w:br/>
              <w:t xml:space="preserve"/>
              <w:br/>
              <w:t xml:space="preserve">info@diekeure.be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FysicaXpert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Impuls 1(2u) en 2(2u)</w:t>
              <w:br/>
              <w:t xml:space="preserve"/>
              <w:br/>
              <w:t xml:space="preserve">Pulsar 1(2u) en 2(2u)</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http://www.vonw.be/jon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 vind je vragen en antwoorden van de voorbije edities van de Junior Olympiade Natuurwetenschappen.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