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2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en kritisch te kunnen functioneren, moet je voldoende inzicht hebben in wetenschappen. Biologie is immers een wetenschap waar je bijna dagelijks mee wordt geconfronteerd.  Denk maar aan: het gebruik van antibiotica, het gebruik van pesticiden en de gevolgen voor het milieu, milieubewust sorteren van afval.</w:t>
        <w:br/>
        <w:t xml:space="preserve"/>
        <w:br/>
        <w:t xml:space="preserve">Wetenschappelijke kennis heb je bovendien ook nodig om verantwoorde en bewuste keuzes te maken, bijvoorbeeld om veilig en verantwoord om te gaan met (gebruiks)stoffen, geluid en straling.  Zo is het belangrijk om in te zien dat geluidsoverlast niet alleen schadelijk is voor je eigen gezondheid maar ook voor anderen of dat het gebruik van onderhoudsproducten gevaren kunnen inhouden.</w:t>
        <w:br/>
        <w:t xml:space="preserve"/>
        <w:br/>
        <w:t xml:space="preserve">Op het examen gaan we daarom na of je vertrouwd bent met het begrip duurzame ontwikkeling.  Het is immers belangrijk om verder te kunnen kijken dan de leerinhouden en ook een kritische houding aan te nemen ten opzichte van de impact van wetenschap en techniek op de maatschappij en het dagelijkse leven.  Leven wij voldoende verantwoord op ecologisch, ethisch en technisch vlak? Ben je je bewust van de eindigheid van het gebruik van voedsel- en grondstofvoorraden? Besef je dat door het gebruik en recycleren van regenwater er heel wat bespaard kan worden op het waterverbruik? Ben je je bewust van de CO2-problematiek? Begrijp je het belang van de aanleg van ecoducten?  Niet alleen wetenschap en techniek moeten goede oplossingen vinden maar ook jij als individu kan je verantwoordelijkheid nemen om bij te dragen tot een duurzame maatschappij.</w:t>
        <w:br/>
        <w:t xml:space="preserve"/>
        <w:br/>
        <w:t xml:space="preserve">Voor jezelf is het dus belangrijk dat je tijdens je voorbereiding op het examen leert om zelfstandig informatie op te zoeken via elektronische media.  Zoek extra informatie op over wetenschappers of experimenten die in de leerinhouden aan bod komen en probeer deze historisch te situeren.  De bedoeling is dat je met deze informatie creatief en kritisch omgaat. Het is een wetenschappelijke houding om kritische vragen te durven stellen bij de informatie die je aangeboden wordt.  We toetsen jouw wetenschappelijk kennis daarom ook aan de hand van informatie uit media en/of literatuur waarover enkele vragen worden gesteld.</w:t>
        <w:br/>
        <w:t xml:space="preserve"/>
        <w:br/>
        <w:t xml:space="preserve">Bovendien behoort wetenschap en dus ook biologie tot onze culturele ontwikkeling.  Voorbeelden zoals hersenonderzoek met behulp van MRI- of PET-scan of de ecolabels van elektrische toestellen die ons milieubewust maken, zijn deel geworden van ons taalgebruik.  Deze voorbeelden tonen aan dat je wetenschappelijke kennis kan verwerven door te vertrekken van de wereld rondom jou en proefondervindelijk te werk te gaan. Als voorbereiding op het examen zal je daarom een onderzoeksopdracht uitvoeren. Deze opdracht bestaat uit een of meerdere eenvoudige experimenten die je uitvoert met eenvoudig materiaal.  Bij deze opdrachten worden onderzoekende vragen gesteld waarop je een hypothese of verwachting probeert te formuleren.  Om op deze vragen te antwoorden heb je voorkennis of extra informatie nodig die je moet opzoeken.  Hoe je te werk gaat om de opdracht uit te voeren, wordt telkens uitvoerig beschreven.  De waarnemingen van deze opdracht geef je weer in woorden, een tabel en/of grafiek.  Op het examen krijg je een aantal reflectievragen.</w:t>
        <w:br/>
        <w:t xml:space="preserve"/>
        <w:br/>
        <w:t xml:space="preserve">Om de realiteit onderzoekend te benaderen, te begrijpen en te verklaren, moet je wel voldoende vaardigheden beheersen en voldoende wetenschappelijke basiskennis hebben. Dat betekent dat je wetenschappelijke principes en begrippen in het dagelijkse leven kan herkennen, benoemen en actief gebruiken. Op het examen moet je hierover vragen beantwoorden.</w:t>
      </w:r>
    </w:p>
    <w:p>
      <w:r>
        <w:rPr/>
        <w:t xml:space="preserve"/>
      </w:r>
      <w:r>
        <w:rPr>
          <w:color w:val="00B050"/>
        </w:rPr>
        <w:t/>
      </w:r>
    </w:p>
    <w:p w14:paraId="70391787" w14:textId="3DB223A8" w:rsidR="00047953" w:rsidRDefault="001D02B3" w:rsidP="0082741A">
      <w:r>
        <w:rPr>
          <w:color w:val="00B050"/>
        </w:rPr>
        <w:t/>
      </w:r>
      <w:r>
        <w:t/>
      </w:r>
      <w:r>
        <w:rPr/>
        <w:t xml:space="preserve">De inhoud van deze vakfiche sluit zo nauw aan bij de eindtermen en cesuurdoelen van de Vlaamse overheid. Deze eindtermen en cesuurdoelen vormen de basis voor onze examens. Zo toetsen we of je de vereiste vaardigheden en competenties voldoende beheerst.</w:t>
        <w:br/>
        <w:t xml:space="preserve"/>
        <w:br/>
        <w:t xml:space="preserve">De eindtermen en cesuurdoelen vind je op deze website: http://www.ond.vlaanderen.be/curriculum/secundair-onderwijs/index.htm</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In stand houden van het leven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Soorten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Interacties tussen organismen en omgeving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In stand houden van het leven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ALGEMEEN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prikkel, reactie, receptor, effector, conductor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in gegeven voorbeelden</w:t>
              <w:br/>
              <w:t xml:space="preserve"/>
              <w:br/>
              <w:t xml:space="preserve">bewegingen en kliersecreties als reacties op prikkels herkennen</w:t>
              <w:br/>
              <w:t xml:space="preserve"/>
              <w:br/>
              <w:t xml:space="preserve">de noodzaak van reacties op prikkels en van het belang van zintuigen beschrijven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prikkels: fysisch, chemisch, inwendig, uitwendig, mechanisch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prikkels en reacties op die prikkels classificeren vanuit waarnemingen zoals filmpjes of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samenhang tussen receptor, effector en conductor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homeostase beschrijven</w:t>
              <w:br/>
              <w:t xml:space="preserve"/>
              <w:br/>
              <w:t xml:space="preserve">het bereiken van homeostase verklaren als een samenwerking tussen receptor, conductor en effector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HET OOG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bouw met de delen:  wenkbrauw, ooglid, wimpers, traanklieren, traankanalen, pupil, iris, harde oogvlies, oogspieren, straallichaam, vaatvlies, netvlies, rechte spieren, schuine spieren, lensbandjes, voorste oogkamer, achterste oogkamer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macroscopische delen herkennen en benoemen aan de hand van twee en driedimensionaal beeldmateriaal en deze ook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macroscopische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gedetailleerde microscopische bouw van het netvlies met de delen: staafjes en kegeltjes (fotoreceptoren), pigmentcellen, zenuwcellen, gele vlek, blinde vlek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een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deze microscopische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oog, de werking van de fotopigmenten in staafjes en kegeltjes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beeldvorming, accommodatie en pupilreflex verklaren aan de hand van filmpjes of afbeeldingen</w:t>
              <w:br/>
              <w:t xml:space="preserve"/>
              <w:br/>
              <w:t xml:space="preserve">verziendheid en bijziendheid herkennen en beschrijven in afbeeldingen</w:t>
              <w:br/>
              <w:t xml:space="preserve"/>
              <w:br/>
              <w:t xml:space="preserve">het gebruik van contactlenzen en een bril verklaren om oogafwijkingen te corrigeren</w:t>
              <w:br/>
              <w:t xml:space="preserve"/>
              <w:br/>
              <w:t xml:space="preserve">het principe van positieve en negatieve nawerking beschrijven</w:t>
              <w:br/>
              <w:t xml:space="preserve"/>
              <w:br/>
              <w:t xml:space="preserve">het principe van dieptezicht (stereoscopische zicht) en optische illusies beschrijven</w:t>
              <w:br/>
              <w:t xml:space="preserve"/>
              <w:br/>
              <w:t xml:space="preserve">het zien van kleuren en de lichtgevoeligheid verklaren vanuit de gedetailleerde bouw van het netvlies en de bouw van staafjes en kegeltjes</w:t>
              <w:br/>
              <w:t xml:space="preserve"/>
              <w:br/>
              <w:t xml:space="preserve">het principe van 'zien' verklaren door een verband te leggen tussen de verschillende structuren in het oog, netvlies en hersenen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HET OOR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 bouw met de delen:  oorschelp, gehoorgang, trommelvlies, gehoorbeentjes, buis van Eustachius, slakkenhuis, orgaan van Corti, halfcirkelvormige kanalen, uitwendig oor, middenoor, binnenoor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macroscopische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gedetailleerde microscopische bouw van het slakkenhuis en het orgaan van Corti: haarcellen en de verschillende soorten membranen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microscopische delen herkennen, benoemen en beschrijven aan de hand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microscopische 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evenwichtsorgaan met evenwichtsreceptoren in de statolietorganen en ampulla-organen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structuren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evenwichtsstructuren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het oor, principe van selectief horen en het coctailparty-effect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weg die het geluid aflegt in het oor beschrijven</w:t>
              <w:br/>
              <w:t xml:space="preserve"/>
              <w:br/>
              <w:t xml:space="preserve">beschrijven hoe het geluidsgolven versterkt worden en omgezet worden naar zenuwimpulsen</w:t>
              <w:br/>
              <w:t xml:space="preserve"/>
              <w:br/>
              <w:t xml:space="preserve">het principe van 'het horen' verklaren door een verband te leggen tussen de verschillende structuren in het oor, het slakkenhuis, het orgaan van Corti en de hersenen</w:t>
              <w:br/>
              <w:t xml:space="preserve"/>
              <w:br/>
              <w:t xml:space="preserve">verklaren op welke manier het statisch en dynamisch evenwicht in het oor geregistreerd wordt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1.4 DE HUID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de huid met de delen: hoornlaag, kiemlaag, haartje, bloedvaten, porie, vrije zenuwuiteinden, talgklier, haarspiertje, haarzakje, zweetklier, tastlichaampje van Meissner, druklichaampje van Vater-Pacini, lichaampjes van Krause, lichaampjes van Ruffini, zenuwuitloper, bindweefsel, vetweefsel, opperhuid, onderhuid, lederhuid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driedimensionale afbeeldingen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macroscopische en microscopische structuren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koude en warmte gewaarwordingen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het waarnemen van en reageren op koude en warmte verklaren door een verband te leggen tussen de verschillende structuren van de huid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1.5 DE TONG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soorten papillen: smaakpapillen, tastpapillen, omwalde papillen, bladvormige papillen, paddenstoelvormige papillen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papillen herkennen, benoemen en beschrijven aan de hand van twee- en driedimensionale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verschillende soorten papillen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tong met smaakpapillen met volgende delen: smaakknop, smaakgroef, speekselkanaal, speekselklier, zenuwvezel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de tong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'proeven' verklaren door een verband te leggen tussen de verschillende structuren in de tong en de neus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1.6 DE NEUS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neus met de delen: neusschelpen, tussenschot, neusslijmvlies met trilharen en slijmcellen, reukslijmvlies, reukzenuw, sinussen, bloedvaten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structuren in de neus herkennen, benoemen en beschrijven aan de hand van twee- en driedimensionale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delen van de neus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de neus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'ruiken' verklaren door een verband te leggen met de verschillende structuren in de neus</w:t>
              <w:br/>
              <w:t xml:space="preserve"/>
              <w:br/>
              <w:t xml:space="preserve">de samenhang tussen het waarnemen van geuren en smaken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1.7 ZINTUIGLIJKE STOORNISSEN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volgende zintuigelijke stoornissen: doofheid, gehoorschade, tinnitus, zeekziekte, wagenziekte, cataract, glaucoom, ouderverziendheid, lui oog, nachtblindheid, astigmatisme, kleurenblindheid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stoornissen verklaren en illustreren hoe deze vermeden kunnen worden</w:t>
              <w:br/>
              <w:t xml:space="preserve"/>
              <w:br/>
              <w:t xml:space="preserve">gegeven informatie uit de media of literatuur over deze stoornissen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bionisch oor (cochleair implantaat) en bionisch oog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principe van deze technische toepassingen verklaren</w:t>
              <w:br/>
              <w:t xml:space="preserve"/>
              <w:br/>
              <w:t xml:space="preserve">het belang van deze toepassingen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1.8 SPIEREN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spieren met de delen: spierschede, pezen, spierbundel, spiervezel, spierfibrillen, sarcomeer, actine- en myosinefilamenten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driedimensionale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spieren:  skeletspieren, huidspieren, kringspieren, glad spierweefsel, dwarsgestreept spierweefsel, willekeurige en onwillekeurige spieren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spieren herkennen, benoemen en beschrijven aan de hand van twee- en driedimensionaal beeldmateriaal</w:t>
              <w:br/>
              <w:t xml:space="preserve"/>
              <w:br/>
              <w:t xml:space="preserve">gladde en dwarsgestreepte spieren in het lichaam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verschillende soorten spieren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van de verschillende soorten spieren vergelijken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spieren: samenspel van actine-myosine-energie- spierglycogeen-leverglycogeen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werking van dwarsgestreepte spieren verklaren door een verband te leggen tussen actine-myosine-energie-glycogeen</w:t>
              <w:br/>
              <w:t xml:space="preserve"/>
              <w:br/>
              <w:t xml:space="preserve">de werking van gladde spieren beschrijven</w:t>
              <w:br/>
              <w:t xml:space="preserve"/>
              <w:br/>
              <w:t xml:space="preserve">het onderscheid in werking tussen dwarsgestreepte en gladde spieren, willekeurige en onwillekeurige spieren beschrijven</w:t>
              <w:br/>
              <w:t xml:space="preserve"/>
              <w:br/>
              <w:t xml:space="preserve">de antagonistische werking van spieren beschrijven</w:t>
              <w:br/>
              <w:t xml:space="preserve"/>
              <w:br/>
              <w:t xml:space="preserve">de rol van het skelet, pezen, gewrichten en beenderen bij spierbeweging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1.9 HET SKELET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skelet met de voornaamste beenderen: schedelbeenderen, wervelkolom, ribben, borstbeen, schouderblad, sleutelbeen, heupbeenderen, beenderen van armen en benen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beenderen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beenweefsel en kraakbeenweefsel</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tussen beide weefsels wat betreft de bouw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beenweefsel en kraakbeenweefsel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functies herkennen, benoemen en beschrijven</w:t>
              <w:br/>
              <w:t xml:space="preserve"/>
              <w:br/>
              <w:t xml:space="preserve">het verband leggen tussen de functie en de bouw van beide weefsels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lange beenderen: opperarmbeenderen, ellepijp, spaakbeenderen, dijbeen, scheenbeen, kuitbeen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beenderen herkennen en benoemen aan de hand van twee- en driedimensionaal beeldmateriaal</w:t>
              <w:br/>
              <w:t xml:space="preserve"/>
              <w:br/>
              <w:t xml:space="preserve">deze beenderen situeren in het menselijk lichaam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lange beenderen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platte beenderen: borstbeen, schedelbeenderen, ribben, schouderbladen en heupbeenderen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beenderen herkennen en benoemen aan de hand van twee- en drie dimensionale afbeeldingen</w:t>
              <w:br/>
              <w:t xml:space="preserve"/>
              <w:br/>
              <w:t xml:space="preserve">deze beenderen situeren in het menselijk lichaam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platte beenderen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gewrichten: scharnier-, kogel-, zadel, rol-, en draaigewricht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gewrichten situeren in het menselijk lichaam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bewegingsmogelijkheden van de verschillende soorten gewrichten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bewegingsmogelijkheden interpreteren op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een gewricht met de delen: gewrichtskop, gewrichtsband, gewrichtskapsel, gewrichtssmeer, kraakbeen, gewrichtskom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1.10 HET HORMONAAL 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excretie, secretie en hormonen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w:t>
              <w:br/>
              <w:t xml:space="preserve"/>
              <w:br/>
              <w:t xml:space="preserve">functies van hormonen in het menselijk lichaam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bouw van endocriene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endocriene klieren herkennen, benoemen en beschrijven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 van endocriene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macroscopische en microscopische verschillen tussen endocriene en exocriene klieren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 herkennen en benoemen aan de hand van twee- en driedimensionaal beeldmateriaal alsook deze verschillen beschrijven</w:t>
              <w:br/>
              <w:t xml:space="preserve"/>
              <w:br/>
              <w:t xml:space="preserve">de aanpassingen van exocriene en endocriene klieren aan hun functie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hormonen en hun endocriene klieren:</w:t>
              <w:br/>
              <w:t xml:space="preserve">testosteron, oestrogeen, FSH, LH, groeihormonen, schildklierhormonen, insuline, glucagon, EPO, prolactine</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hormonen en endocriene klieren situeren in het menselijk lichaam</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1.11 HET ZENUWSTELSEL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zenuwstelsels: het centrale zenuwstelsel en het perifere zenuwstelsel,  het autonoom en animaal zenuwstelsel, sympatisch en parasympatisch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centrale zenuwstelsel en het perifere zenuwstelsel herkennen en benoemen aan de hand van twee- en driedimensionaal beeldmateriaal</w:t>
              <w:br/>
              <w:t xml:space="preserve"/>
              <w:br/>
              <w:t xml:space="preserve">het verschil tussen autonoom en animaal zenuwstelsel, sympatisch en parasympatisch zenuwstelsel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functies van deze zenuwstelsels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 van het autonoom en animaal zenuwstelsel, het sympatisch en parasympatisch zenuwstelsel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reacties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de hersenen met de delen:</w:t>
              <w:br/>
              <w:t xml:space="preserve">grote hersenen met hersenschors (cortex) – thalamus – hypothalamus - hersenbalk, kleine hersenen, hersenstam, primaire en secundaire centra, sensorische en motorische centra, spraak- gezichts- en gehoorcentrum, het limbisch systeem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en benoemen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hersendelen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benoemen 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hersenletsels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gevolgen van hersenletsels en de functies van de hersendelen (zie ook 1.12)</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het ruggenmerg met de delen: witte stof, grijze stof, in- en uittredende zenuwen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bouw van een zenuwcel met de delen:</w:t>
              <w:br/>
              <w:t xml:space="preserve">dendrieten, cellichaam, axon, myelineschede, cellen van Schwann, gliacellen, knopen van Ranvier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delen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zenuwcellen:  motorisch-, sensorisch- en schakelneuron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zenuwcellen herkennen, benoemen en beschrijven aan de hand van twee- en driedimensionaal beeldmateriaal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impulsgeleiding met de begrippen actiepotentiaal, rustpotentiaal, zenuwimpuls, elektrische prikkel, chemische prikkel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richting van impulsgeleiding in een neuron aanduiden en herkennen op afbeeldingen</w:t>
              <w:br/>
              <w:t xml:space="preserve"/>
              <w:br/>
              <w:t xml:space="preserve">de impulsgeleiding (zenuwimpuls) in een neuron beschrijven en verklaren aan de hand van afbeeldingen</w:t>
              <w:br/>
              <w:t xml:space="preserve"/>
              <w:br/>
              <w:t xml:space="preserve">de impulsgeleiding in een neuron met een eenvoudig model voorstellen,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impulsoverdracht (signaaloverdracht) tussen zenuwcellen met de begrippen: neurotransmitter, synaps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signaaloverdracht tussen zenuwcellen beschrijven en verklaren aan de hand van afbeeldingen</w:t>
              <w:br/>
              <w:t xml:space="preserve"/>
              <w:br/>
              <w:t xml:space="preserve">de signaaloverdracht tussen twee zenuwcellen met een eenvoudig model voorstellen,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reflex , gewilde beweging, reflexboog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gevolgde weg van de zenuwimpuls bij een reflex en gewilde beweging, herkennen, aanduiden en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1.12 NEURALE EN HORMONALE STOORNISSEN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neurale en hormonale stoornissen: gezichtsstoornissen, ziekte van Parkinson, diabetes, multiple scleros, epilepsie, stoornissen die voortvloeien uit alcohol- en drugsmisbruik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stoornissen verklaren en illustreren hoe deze eventueel vermeden of opgelost kunnen worden</w:t>
              <w:br/>
              <w:t xml:space="preserve"/>
              <w:br/>
              <w:t xml:space="preserve">gegeven informatie over deze stoornissen uit de media of literatuur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1.13 COÖRDINATIE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homeostatische functie van de pancreas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verklaren</w:t>
              <w:br/>
              <w:t xml:space="preserve"/>
              <w:br/>
              <w:t xml:space="preserve">het begrip homeostase actief gebruiken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adrenaline-afscheiding bij stress, melkproductie bij het zuigen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samenhang tussen het zenuwstelsel en het endocrien stelsel schematisch voorstellen en verklaren aan de hand van gegeven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Soorten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TERREINSTUDIE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Deze terreinstudie is een opstap voor de leerinhouden 'classificatie', 'interacties tussen organismen en omgeving' en 'biodiversiteit’. Het is belangrijk dat je deze terreinstudie uitvoert zoals beschreven in de rubriek 'opdrachten'. Probeer daarbij een onderzoekende en nieuwsgierige houding aan te nemen.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abundantie, bedekkingsgraad, determineren, verspreidingsgraad, transect, biotische index, bio-indicator, systematische eenheden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betekenis van deze begrippen beschrijven</w:t>
              <w:br/>
              <w:t xml:space="preserve"/>
              <w:br/>
              <w:t xml:space="preserve">organismen determineren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CLASSIFICATIE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vijfrijkensysteem van Whittaker: </w:t>
              <w:br/>
              <w:t xml:space="preserve">plantenrijk, dierenrijk, zwammenrijk, monera- of prokaryotenrijk, protistenrijk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vijfrijken opsommen en de criteria beschrijven waarop deze indeling gebaseerd is</w:t>
              <w:br/>
              <w:t xml:space="preserve"/>
              <w:br/>
              <w:t xml:space="preserve">organismen indelen in het vijfrijkensysteem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ééncelligen en meercelligen, prokaryoten en eukaryoten, autotroof en heterotroof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afbeeldingen deze organismen onderscheiden van elkaar en dit onderscheid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anatomische, morfologische, macroscopische, microscopische, inwendige en uitwendige verschillen en gelijkenissen tussen organismen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gelijkenissen en verschillen herkennen, beschrijven en gebruiken om organismen te classificeren volgens het vijfrijkensysteem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enerzijds zwammen en bacteriën en anderzijds planten en dieren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kenmerken dit onderscheid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cladogram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cladogram toepassen in oefeningen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drie domeinen:  archeae, bacteria en eukaryoten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organismen indelen in deze drie domeinen aan de hand van afbeeldingen</w:t>
              <w:br/>
              <w:t xml:space="preserve"/>
              <w:br/>
              <w:t xml:space="preserve">gelijkenissen en verschillen tussen deze organismen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binominale naamgeving, het begrip soort en geslacht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soort en geslacht in de biologie beschrijven</w:t>
              <w:br/>
              <w:t xml:space="preserve"/>
              <w:br/>
              <w:t xml:space="preserve">de binominale naamgeving herkennen</w:t>
              <w:br/>
              <w:t xml:space="preserve"/>
              <w:br/>
              <w:t xml:space="preserve">verwantschap tussen organismen afleiden uit de binominale naamgeving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plantengroepen: levermossen, bladmossen, varenplanten, naaldbomen (coniferen), bloemplanten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plantengroepen herkennen en benoemen op basis van anatomische en/of morfologische gelijkenissen en verschillen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bloemplanten: bladstand, stengeldoorsnede, symmetrie en grondtal van de bloem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aan de hand van afbeeldingen</w:t>
              <w:br/>
              <w:t xml:space="preserve"/>
              <w:br/>
              <w:t xml:space="preserve">aan dan hand van deze kenmerken de familie afleiden waartoe bloemplanten behoren</w:t>
              <w:br/>
              <w:t xml:space="preserve"/>
              <w:br/>
              <w:t xml:space="preserve">let op: typische familiekenmerken moeten niet uit het hoofd gekend zijn; deze worden indien nodig gegeven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bloemdiagram en een bloemformule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beide kunnen opstellen aan de hand van afbeeldingen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afdelingen in het plantenrijk:  bedektzadige planten, naaktzadige planten, mosplanten, varenplanten, groenwieren, bruinwieren en roodwieren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planten herkennen en indelen in de belangrijkste afdelingen aan de hand van afbeeldingen</w:t>
              <w:br/>
              <w:t xml:space="preserve"/>
              <w:br/>
              <w:t xml:space="preserve">de bedektzadige planten indelen in familie, geslacht en soort aan de hand van dichotomische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micro-organismen:  pantoffeldiertjes, gistcellen, amoeben, wieren (Volvox), kiezelwieren (diatomeeën),  virussen en bacteriën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en voortplanting van virussen en bacteriën beschrijven en herkennen aan de hand van afbeeldingen</w:t>
              <w:br/>
              <w:t xml:space="preserve"/>
              <w:br/>
              <w:t xml:space="preserve">deze micro-organismen classificeren aan de hand van afbeeldingen en beschrijven wat de gelijkenissen en verschillen zijn</w:t>
              <w:br/>
              <w:t xml:space="preserve"/>
              <w:br/>
              <w:t xml:space="preserve">de plaats van virussen in het classificatiesysteem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functies van micro-organismen in de natuur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herkennen en voorbeelden ervan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invloed van bacteriën, virussen, schimmels, gisten en parasieten op de gezondheid van de mens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deze invloed</w:t>
              <w:br/>
              <w:t xml:space="preserve"/>
              <w:br/>
              <w:t xml:space="preserve">deze invloed herkennen en beschrijven</w:t>
              <w:br/>
              <w:t xml:space="preserve"/>
              <w:br/>
              <w:t xml:space="preserve">beschrijven hoe de mens zich kan beschermen tegen een schadelijke invloed van deze organismen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stammen in het dierenrijk: chordadieren, geleedpotigen, weekdieren, platwormen, gelede wormen, rondwormen, stekelhuidigen, sponzen, neteldieren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dieren classificeren volgens deze stammen aan de hand van afbeeldingen</w:t>
              <w:br/>
              <w:t xml:space="preserve"/>
              <w:br/>
              <w:t xml:space="preserve">de stammen van ongewervelden classificeren in lagere taxonomische niveaus aan de hand van dichotomische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klassen bij de chordadieren:  amfibieën, vissen, reptielen, vogels, zoogdieren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chordadieren classificeren in klassen aan de hand van afbeeldingen</w:t>
              <w:br/>
              <w:t xml:space="preserve"/>
              <w:br/>
              <w:t xml:space="preserve">deze klassen classificeren in lagere taxonomische niveaus aan de hand van dichotomische tabellen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fossielen van dinosaurussen, Archeopteryx, ammonieten…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uitgestorven organismen classificeren in het classificatiesysteem op basis van gegeven informatie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Interacties tussen organismen en omgeving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ECOSYSTEEM</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Gegevens uit je terreinstudie kunnen een hulpmiddel zijn om volgende leerinhouden te verwerken.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biotische en abiotische factoren, habitat, ecologische niche, biotoop, levensgemeenschap, ecosysteem, populatie, ecologie, successie, climax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herkennen in voorbeelden</w:t>
              <w:br/>
              <w:t xml:space="preserve"/>
              <w:br/>
              <w:t xml:space="preserve">de evolutie van een ecosysteem van primair naar climax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aanpassingen van organismen aan de omgeving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deze aanpassingen</w:t>
              <w:br/>
              <w:t xml:space="preserve"/>
              <w:br/>
              <w:t xml:space="preserve">deze aanpassingen verklaren</w:t>
              <w:br/>
              <w:t xml:space="preserve"/>
              <w:br/>
              <w:t xml:space="preserve">met voorbeelden aantonen dat organismen aangepast zijn aan cyclisch weerkerende natuurverschijnselen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beïnvloedende factoren van een ecosysteem, biotische en abiotische factoren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evolutie van een ecosysteem van primair naar climax herkennen</w:t>
              <w:br/>
              <w:t xml:space="preserve"/>
              <w:br/>
              <w:t xml:space="preserve">deze factoren herkennen en beschrijven</w:t>
              <w:br/>
              <w:t xml:space="preserve"/>
              <w:br/>
              <w:t xml:space="preserve">voorbeelden geven van deze factoren in een ecosysteem</w:t>
              <w:br/>
              <w:t xml:space="preserve"/>
              <w:br/>
              <w:t xml:space="preserve">het verband leggen tussen biotische, abiotische factoren en factoren door de mens vastgelegd</w:t>
              <w:br/>
              <w:t xml:space="preserve"/>
              <w:br/>
              <w:t xml:space="preserve">het verband leggen tussen abiotisch, biotische factoren en het voorkomen van organismen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INTERACTIES TUSSEN ORGANISMEN VAN DEZELFDE SOORT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groepsvorming:  paarvorming, grote groepen, sociale staat, kudde, tijdelijk, blijvend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 en nadelen van groepsvorming verklaren en vergelijken in gegeven voorbeelden</w:t>
              <w:br/>
              <w:t xml:space="preserve"/>
              <w:br/>
              <w:t xml:space="preserve">verschillende soorten groepsvorming herkennen in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gradaties van sociaal gedrag en sociale interacties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gegeven voorbeelden de grootte en de duur van groepsvorming vergelijken</w:t>
              <w:br/>
              <w:t xml:space="preserve"/>
              <w:br/>
              <w:t xml:space="preserve">de taakverdeling binnen een groep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communicatie:  chemisch, tactiel, auditief en visueel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soorten communicatiemogelijkheden binnen een groep classificeren in gegeven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communicatiemethoden: imponeergedrag, verzoeningsgedrag, baltsgedrag, taakverdeling, territoriumgedrag, conflichtgedrag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communicatiemethoden herkennen, benoemen en beschrijven</w:t>
              <w:br/>
              <w:t xml:space="preserve"/>
              <w:br/>
              <w:t xml:space="preserve">het belang en de functie van communicatie binnen een groep verklaren aan de hand van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gedrag en ethologie, aangeboren en aangeleerd gedrag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w:t>
              <w:br/>
              <w:t xml:space="preserve"/>
              <w:br/>
              <w:t xml:space="preserve">de functie van gedrag beschrijven</w:t>
              <w:br/>
              <w:t xml:space="preserve"/>
              <w:br/>
              <w:t xml:space="preserve">aangeboren en aangeleerd gedrag van elkaar onderscheiden in voorbeelden</w:t>
              <w:br/>
              <w:t xml:space="preserve"/>
              <w:br/>
              <w:t xml:space="preserve">de ethologie als wetenschappelijke onderzoeksmethode historisch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leerprocessen: gewenning, inprenting, conditionering, imitatie, inzicht, trial and error/proefondervindelijk, herhaling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conditioneringsproeven van Pavlov, Skinner en de inprentingsproeven van Lorenz herkennen</w:t>
              <w:br/>
              <w:t xml:space="preserve"/>
              <w:br/>
              <w:t xml:space="preserve">deze leerprocessen classificeren in gegeven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wetenschappers Pavlov, Skinner en Lorenz</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wetenschappers historisch situeren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INTERACTIES TUSSEN ORGANISMEN VAN VERSCHILLENDE SOORT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interactievormen tussen organismen : predatie, concurrentie, parasitisme, mutualisme, coöperatie, commensalisme, amensalisme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interacties herkennen en benoemen in gegeven ecosystemen 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methode voor actieve en passieve immunisatie, antibiotica, hygiëne en ontsmetting, voedsel bewaartechnieken (steriliseren, UHT, invriezen, bestralen, pekelen)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deze methoden verklaren hoe de mens zich kan beschermen tegen de schadelijke gevolgen van schimmels, gisten en andere parasitaire organismen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 van producenten, consumenten en reducenten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 beschrijven</w:t>
              <w:br/>
              <w:t xml:space="preserve"/>
              <w:br/>
              <w:t xml:space="preserve">de relatie tussen producenten, consumenten en reducenten beschrijven en in een schema weergeven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energie-en materiekringlopen van koolstof en stikstof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kringlopen beschrijven aan de hand van gegeven afbeeldingen</w:t>
              <w:br/>
              <w:t xml:space="preserve"/>
              <w:br/>
              <w:t xml:space="preserve">materie- en energiedoorstromen in een ecosysteem eenvoudig voorstellen</w:t>
              <w:br/>
              <w:t xml:space="preserve"/>
              <w:br/>
              <w:t xml:space="preserve">energie-omzettingen in materie- en energiekringlopen identificeren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energiepiramides, biomassapiramides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piramides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voedselwebben en voedselketens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webben en ketens opstellen en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3.4 BIODIVERSITEIT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biodiversiteit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biodiversiteit verklaren in een ecosysteem</w:t>
              <w:br/>
              <w:t xml:space="preserve"/>
              <w:br/>
              <w:t xml:space="preserve">voorbeelden geven of uit voorbeelden afleiden hoe door menselijke gedrag de biodiversiteit beïnvloed kan worden</w:t>
              <w:br/>
              <w:t xml:space="preserve"/>
              <w:br/>
              <w:t xml:space="preserve">het belang van duurzaam leven en duurzame ontwikkeling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kan wetenschappelijke kennis en inzichten verwerven door een eenvoudige probleemstelling of vraagstelling via de natuurwetenschappelijke methode te benaderen. In de rubriek 'opdrachten' vind je een probleemstelling die je moet verwerken volgens een vast stappenplan. Thuis voer je onder begeleiding van een andere persoon zoals een van je ouders, de opdracht uit. Het is een vrij eenvoudig proefje. Je volgt daarbij de aanpak die we voorschrijven. Die aanpak is de natuurwetenschappelijke onderzoeksmethode: je vertrekt van een probleemstelling of een onderzoeksvraag, je voert het proefje uit volgens een voorgeschreven werkplan, je trekt een besluit op basis van je waarnemingen en resultaten.</w:t>
      </w:r>
    </w:p>
    <w:p>
      <w:r>
        <w:rPr/>
        <w:t xml:space="preserve">Op de dag van het examen toetsen we of je effectief het proefje benaderd hebt volgens die aanpak.</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uitvoeren volgens de OVUR-methode.</w:t>
              <w:br/>
              <w:t xml:space="preserve"/>
              <w:br/>
              <w:t xml:space="preserve">OVUR staat voor Oriënteren, Voorbereiden, Uitvoeren en Reflecteren/Rapporteren.</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OVUR-methode toepassen:</w:t>
              <w:br/>
              <w:t xml:space="preserve"/>
              <w:br/>
              <w:t xml:space="preserve">oriënteren: bijkomende informatie uit een wetenschappelijk artikel, media of elektronische drager raadplegen om de onderzoeksvraag te verduidelijken; </w:t>
              <w:br/>
              <w:t xml:space="preserve"/>
              <w:br/>
              <w:t xml:space="preserve">voorbereiden: een mogelijk antwoord of hypothese formuleren op de onderzoeksvraag;</w:t>
              <w:br/>
              <w:t xml:space="preserve"/>
              <w:br/>
              <w:t xml:space="preserve">uitvoeren: het juiste materiaal herkennen en benoemen om het experiment uit te voeren;</w:t>
              <w:br/>
              <w:t xml:space="preserve"/>
              <w:br/>
              <w:t xml:space="preserve">rapporteren/reflecteren: </w:t>
              <w:br/>
              <w:t xml:space="preserve"/>
              <w:br/>
              <w:t xml:space="preserve">grafieken en tabellen op een correcte wetenschappelijke manier tekenen;</w:t>
              <w:br/>
              <w:t xml:space="preserve"/>
              <w:br/>
              <w:t xml:space="preserve">waarnemingen en resultaten met de juiste wetenschappelijke terminologie noteren;</w:t>
              <w:br/>
              <w:t xml:space="preserve"/>
              <w:br/>
              <w:t xml:space="preserve">waarnemingen en resultaten vergelijken met de hypothese of verwachting;</w:t>
              <w:br/>
              <w:t xml:space="preserve"/>
              <w:br/>
              <w:t xml:space="preserve">eventuele afwijkingen verklaren, mogelijke oorzaken zoeken;</w:t>
              <w:br/>
              <w:t xml:space="preserve"/>
              <w:br/>
              <w:t xml:space="preserve">je resultaten, waarnemingen en besluiten vergelijken met andere resultaten;</w:t>
              <w:br/>
              <w:t xml:space="preserve"/>
              <w:br/>
              <w:t xml:space="preserve">een antwoord formuleren op de onderzoeksvraag in de juiste wetenschappelijke terminologie;</w:t>
              <w:br/>
              <w:t xml:space="preserve"/>
              <w:br/>
              <w:t xml:space="preserve">een besluit formuleren in de juiste wetenschappelijke terminologie.</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Om je wetenschappelijke vaardigheden te ontwikkelen moet je thuis onder begeleiding de opdrachten op de volgende bladzijden uitvoeren.  Tijdens het examen krijg je enkele inhoudelijke vragen over de opdrachten.</w:t>
      </w:r>
    </w:p>
    <w:p>
      <w:pPr>
        <w:jc w:val="both"/>
      </w:pPr>
      <w:r>
        <w:t xml:space="preserve">Breng het verslag van je opdrachten mee naar het examen. Je mag het verslag alleen gebruiken bij het beantwoorden van de vragen over de onderzoeksopdracht. In je verslag mogen geen leerinhouden staan; dit kan beschouwd worden als fraude.</w:t>
      </w:r>
    </w:p>
    <w:p>
      <w:pPr>
        <w:jc w:val="both"/>
      </w:pPr>
      <w:r>
        <w:t xml:space="preserve"/>
      </w:r>
      <w:r w:rsidRPr="003E4776">
        <w:t/>
      </w:r>
    </w:p>
    <w:p w14:paraId="5B5E3ED3" w14:textId="0FE7D0D3" w:rsidR="0076163F" w:rsidRDefault="0076163F" w:rsidP="0076163F">
      <w:r w:rsidRPr="003E4776">
        <w:t/>
      </w:r>
      <w:r>
        <w:t>OPDRACHTBIO2A_201705.pdf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Voor het examen biologie breng je het verslag van je onderzoeksopdrachten en een blauwe of zwarte balpen mee.</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 vragen als vragen waar je met de leerstof aan de slag moet (door vraagstukken op te lossen, de leerstof toe te passen op nieuwe contexten, verbanden te leggen tussen verschillende leerstofonderdelen, tussen de leerinhoud en de toepassingen hiervan in technische realisaties of de weerklank ervan in maatschappelijke debatten). </w:t>
      </w:r>
    </w:p>
    <w:p>
      <w:pPr>
        <w:jc w:val="both"/>
      </w:pPr>
      <w:r>
        <w:t xml:space="preserve"/>
      </w:r>
    </w:p>
    <w:p>
      <w:pPr>
        <w:jc w:val="both"/>
      </w:pPr>
      <w:r>
        <w:t xml:space="preserve">Naast kennisonderdelen, toetst het examen ook een aantal wetenschappelijke vaardigheden. Zo kan je worden gevraagd om biologische structuren en informatie schematisch voor te stellen, experimentele opstellingen te interpreteren en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juist-onjuist vragen, meerkeuzevragen, etc.  </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2ASO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zeer aandachtig</w:t>
      </w:r>
    </w:p>
    <w:p>
      <w:pPr>
        <w:jc w:val="both"/>
      </w:pPr>
      <w:r>
        <w:t xml:space="preserve">-	voor open vragen formuleer je een duidelijk en ordelijk antwoord</w:t>
      </w:r>
    </w:p>
    <w:p>
      <w:pPr>
        <w:jc w:val="both"/>
      </w:pPr>
      <w:r>
        <w:t xml:space="preserve">-	als je een vraag niet meteen kan beantwoorden, ga dan door met de volgende vraag</w:t>
      </w:r>
    </w:p>
    <w:p>
      <w:pPr>
        <w:jc w:val="both"/>
      </w:pPr>
      <w:r>
        <w:t xml:space="preserve">-	lees je antwoorden na</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 STAND HOUDEN VAN LEVEN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SOORTEN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INTERACTIES TUSSEN ORGANISMEN EN OMGEVING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De bibliotheken van de lerarenopleiding aan de universiteit of de hogeschool bieden heel wat leermiddelen aan in hun collectie. We verwijzen je vaak door naar websites waar je gratis studie- en oefenmateriaal kan vinden. </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 </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 </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Biogenie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03 / 200 45 80, bestellingen@uitgeverijdeboeck.be, www.uitgeverijdeboeck.be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Bioskoop</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03 / 660 27 20, uitgeverij@pelckmans.be, 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Natuurlijk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015 / 36 36 36, klantendienst@plantyn.be, 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 voor jou</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03 / 480 55 11, uitgeverij@vanin.be, 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Inhoud</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Deze site biedt eenvoudige maar zeer goede visuele ondersteuning voor verschillende biologische/biochemische processen.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www.vonw.be/jon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site vindt je vragen en antwoorden van de voorbije edities van de Junior Olympiade Natuurwetenschappen.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informatie vinden over allerlei thema’s in de vorm van powerpoint presentaties, videoclips,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kun je allerlei zaken vinden over het vak biologie. Begrippenlijsten, video’s, een bibliotheek aan krantenartikelen. Als je aanmeldt kan je ook op het forum en in de chatroom waar je kan overleggen met leerlingen en leerkrachten over de leerstof.</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