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sociale en gedragswetenschappen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Humane wetenschappen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http://www.ond.vlaanderen.be/curriculum/secundair-onderwijs/specifieke-eindtermen-aso/-/humane-wetenschappen/cesuurdoelen.htm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De eigenheid van de richting humane wetenschappen komt het meest nadrukkelijk tot uiting in de vakken gedragswetenschappen en cultuurwetenschappen. In de cultuurwetenschappen onderzoek je hoe de mens zich uitdrukt in een samenleving. Je zoekt naar gelijkenissen en verschillen tussen samenlevingen en probeert die te verbinden met grotere maatschappelijke structuren.</w:t>
        <w:br/>
        <w:t xml:space="preserve"/>
        <w:br/>
        <w:t xml:space="preserve">In de gedragswetenschappen ontdek  je hoe een individu, groepen en een samenleving functioneren, en waarom dat zo is. Je zoekt naar verklaringen in onder meer de psychologie, de sociologie, de pedagogiek en de ethiek. Daarnaast maak je kennis met hoe de mens over de maatschappij en de mens nadenkt. Je probeert zaken vanuit verschillende standpunten te bekijken. Zo maak je kennis met verklaringen, modellen en theorieën over mens en samenleving. Hoe gedragen we ons en waarom is dat zo? Wat kan er mis lopen met mensen of groepen en hoe kunnen we dat oplossen?</w:t>
      </w:r>
    </w:p>
    <w:p>
      <w:r>
        <w:rPr/>
        <w:t xml:space="preserve"/>
      </w:r>
      <w:r>
        <w:rPr>
          <w:color w:val="00B050"/>
        </w:rPr>
        <w:t/>
      </w:r>
    </w:p>
    <w:p w14:paraId="70391787" w14:textId="3DB223A8" w:rsidR="00047953" w:rsidRDefault="001D02B3" w:rsidP="0082741A">
      <w:r>
        <w:rPr>
          <w:color w:val="00B050"/>
        </w:rPr>
        <w:t/>
      </w:r>
      <w:r>
        <w:t/>
      </w:r>
      <w:r>
        <w:rPr/>
        <w:t xml:space="preserve">Vanuit de sociologie bestudeer je hoe mensen samen komen in verschillende organisaties en groepen. Je zoekt uit hoe mensen en groepen elkaar beïnvloeden. Je ontleedt hoe mensen communiceren met elkaar, wat er soms misloopt en hoe het beter zou kunnen. Je achterhaalt wat mensen belangrijk vinden en hoe ze die normen en waarden aan elkaar doorgeven. Je maakt kennis met verschillende niveaus van ethisch redeneren.</w:t>
        <w:br/>
        <w:t xml:space="preserve"/>
        <w:br/>
        <w:t xml:space="preserve">Je verdiept je ook in de ontwikkelingspsychologie. Zo zal je zien hoe een mens zich ontwikkelt van baby tot oudere.  Vanuit de pedagogiek ontdek je hoe je het best omgaat met de uitdagingen die elke ontwikkeling met zich mee brengt. Daarnaast bekijk je hoe mensen naar zichzelf en naar anderen kijken en hoe zich dat uit in een zelfbeeld. Verder bestudeer je het waarnemingsproces, beschrijf je emoties en onderzoek je hoe men in verschillende culturen omgaat met emoties.</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Communicatie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Denken over mens en samenleving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Organisatie en wisselwerking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Expressie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of doen op het examen om te bewijzen wat je kent en kan. Hieronder vind je een korte omschrijving van de vier leerinhouden, gevolgd door enkele belangrijke aandachtspunten bij het gebruik van werkwoorden.</w:t>
      </w:r>
    </w:p>
    <w:p>
      <w:r>
        <w:rPr/>
        <w:t xml:space="preserve">Het is voor elk van deze vier leerinhouden belangrijk om de actualiteit te volgen. Je gebruikt op het examen immers vaak actuele artikels. Er staan in de tabellen heel wat begrippen: het kan je helpen om een begrippenlijst aan te leggen of begrippenlijsten uit handboeken te gebruiken.</w:t>
      </w:r>
    </w:p>
    <w:p>
      <w:r>
        <w:rPr/>
        <w:t xml:space="preserve">Voor leerinhoud A bekijk je verschillende organisaties. Je probeert inzicht te krijgen in hoe organisaties, groepen en personen elkaar beïnvloeden.</w:t>
      </w:r>
    </w:p>
    <w:p>
      <w:r>
        <w:rPr/>
        <w:t xml:space="preserve">Voor leerinhoud B verdiep je je in waarneming en communicatie. Je onderzoekt hoe ons waarnemingsproces verloopt, welke factoren er invloed op hebben en hoe het georganiseerd wordt. Je ontleedt het communicatieproces en onderscheidt verschillende vormen en niveaus van communicatie. Je verwerft ook een aantal omgangsvaardigheden.</w:t>
      </w:r>
    </w:p>
    <w:p>
      <w:r>
        <w:rPr/>
        <w:t xml:space="preserve">Voor leerinhoud C bestudeer je de ontwikkeling van de mens, van baby tot oudere. Je bekijkt wat het zelfbeeld is en hoe dat ontstaat. Je maakt het onderscheid tussen waarden en normen en onderzoekt hoe die worden doorgegeven via socialisatie.</w:t>
      </w:r>
    </w:p>
    <w:p>
      <w:r>
        <w:rPr/>
        <w:t xml:space="preserve">Voor leerinhoud D kijk je tenslotte naar emoties. Welke emoties zijn er? Hoe worden ze geuit? Hoe gaan mensen om met hun lichaam en hoe gebruiken ze dat lichaam om zich uit te drukken?</w:t>
      </w:r>
    </w:p>
    <w:p>
      <w:r>
        <w:rPr/>
        <w:t xml:space="preserve">Naast de kennis over elk van deze vier leerinhouden moet je op het examen aantonen dat je de volgende vaardigheden beheerst:</w:t>
      </w:r>
    </w:p>
    <w:p>
      <w:r>
        <w:rPr/>
        <w:t xml:space="preserve">»       actuele informatie uit bronnenmateriaal zoals beeldmateriaal,  grafieken, cartoons, krantenartikelen… kunnen verbinden aan theorieën uit de gedragswetenschappen;</w:t>
      </w:r>
    </w:p>
    <w:p>
      <w:r>
        <w:rPr/>
        <w:t xml:space="preserve">»       de leerinhouden toepassen op de actualiteit.</w:t>
      </w:r>
    </w:p>
    <w:p>
      <w:r>
        <w:rPr/>
        <w:t xml:space="preserve">»       uit een tekst de hoofd- en bijzaken van elkaar kunnen onderscheiden;</w:t>
      </w:r>
    </w:p>
    <w:p>
      <w:r>
        <w:rPr/>
        <w:t xml:space="preserve">»       feiten en meningen van elkaar kunnen onderscheiden;</w:t>
      </w:r>
    </w:p>
    <w:p>
      <w:r>
        <w:rPr/>
        <w:t xml:space="preserve">Als er geschreven bronnen gebruikt worden, zijn dit steeds Nederlandstalige bronnen.</w:t>
      </w:r>
    </w:p>
    <w:p>
      <w:r>
        <w:rPr>
          <w:b/>
        </w:rPr>
        <w:t xml:space="preserve">Belangrijke aandachtspunten bij het gebruik van werkwoorden</w:t>
      </w:r>
    </w:p>
    <w:p>
      <w:r>
        <w:rPr/>
        <w:t xml:space="preserve">In de tabel 'wat moet je kunnen en doen?’ staat heel vaak dat je iets moet </w:t>
      </w:r>
      <w:r>
        <w:rPr>
          <w:b/>
        </w:rPr>
        <w:t xml:space="preserve">benoemen</w:t>
      </w:r>
      <w:r>
        <w:rPr/>
        <w:t xml:space="preserve"> of </w:t>
      </w:r>
      <w:r>
        <w:rPr>
          <w:b/>
        </w:rPr>
        <w:t xml:space="preserve">beschrijven.</w:t>
      </w:r>
    </w:p>
    <w:p>
      <w:r>
        <w:rPr/>
        <w:t xml:space="preserve">Benoemen wordt gebruikt bij een begrip. Beschrijven wordt gebruikt bij een proces, evolutie, model of situatie. Beide woorden betekenen dat je in staat moet zijn om de inhoud in je eigen woorden uit te leggen. Het komt er niet op aan om exacte definities van bepaalde begrippen te geven, maar wel de begrippen juist te kunnen uitleggen in een bepaalde context. Alleen waar 'deze begrippen definiëren’ staat, moet je een letterlijke definitie kunnen geven. Het kan ook zijn dat je een omschrijving krijgt en dat jij het juiste begrip moet benoemen.</w:t>
      </w:r>
    </w:p>
    <w:p>
      <w:r>
        <w:rPr/>
        <w:t xml:space="preserve">Soms wordt het werkwoord </w:t>
      </w:r>
      <w:r>
        <w:rPr>
          <w:b/>
        </w:rPr>
        <w:t xml:space="preserve">vergelijken</w:t>
      </w:r>
      <w:r>
        <w:rPr/>
        <w:t xml:space="preserve"> gebruikt. Als je twee begrippen of ideeën moet vergelijken met elkaar, moet je voor jezelf eerst de begrippen of ideeën goed formuleren en dan op zoek gaan naar overeenkomsten en verschillen. </w:t>
      </w:r>
      <w:r>
        <w:rPr>
          <w:b/>
        </w:rPr>
        <w:t xml:space="preserve">Verklaren</w:t>
      </w:r>
      <w:r>
        <w:rPr/>
        <w:t xml:space="preserve"> betekent dan weer dat je moet kunnen uitleggen waarom iets op een bepaalde manier zo is. Je verwijst zelf naar theorieën, processen, visies,… Als we </w:t>
      </w:r>
      <w:r>
        <w:rPr>
          <w:b/>
        </w:rPr>
        <w:t xml:space="preserve">'illustreren’</w:t>
      </w:r>
      <w:r>
        <w:rPr/>
        <w:t xml:space="preserve"> vermelden, moet je in staat zijn om concrete voorbeelden te geven van een leerinhoud. Soms helpen we je op weg in deze vakfiche door tussen haakjes 'bijvoorbeeld’ of 'zoals’ te vermelden. Deze opsomming is niet volledig: er kunnen dus andere voorbeelden gevraagd worden. Wanneer er geen 'bijvoorbeeld’ staat, is de opsomming volledig.</w:t>
      </w:r>
    </w:p>
    <w:p>
      <w:r>
        <w:rPr>
          <w:b/>
        </w:rPr>
        <w:t xml:space="preserve">Toepassen</w:t>
      </w:r>
      <w:r>
        <w:rPr/>
        <w:t xml:space="preserve"> komt ook heel vaak voor in deze vakfiche. Het betekent dat je de theorie moet kunnen verbinden aan voorbeelden. Je zal de volgende soort vragen krijgen: je krijgt een tekst of afbeelding en er wordt aan jou gevraagd van welke theorie of begrip dit een toepassing is. Je zal tegelijk ook moeten verantwoorden waarom je voor die theorie of dat begrip kiest. Je kan dit zelf inoefenen door de voorbeelden in de leermiddelen te gebruiken. Je kan dit ook inoefenen door bijvoorbeeld een krant of tijdschrift te lezen en je af te vragen welke leerinhouden je kan toepassen op wat je net gelezen hebt.</w:t>
      </w:r>
    </w:p>
    <w:p>
      <w:r>
        <w:rPr/>
        <w:t xml:space="preserve">Wanneer het werkwoord </w:t>
      </w:r>
      <w:r>
        <w:rPr>
          <w:b/>
        </w:rPr>
        <w:t xml:space="preserve">analyseren</w:t>
      </w:r>
      <w:r>
        <w:rPr/>
        <w:t xml:space="preserve"> voorkomt, dan vragen we dat je deze inhoud zeer grondig beheerst. Vaak zal je aan de hand van teksten of afbeeldingen moeten bewijzen dat je de inhoud goed begrijpt, dat je de relatie legt met theorieën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Bij het </w:t>
      </w:r>
      <w:r>
        <w:rPr>
          <w:b/>
        </w:rPr>
        <w:t xml:space="preserve">beoordelen</w:t>
      </w:r>
      <w:r>
        <w:rPr/>
        <w:t xml:space="preserve"> verwachten we dat je je eigen standpunt bepaalt. Dat kan bijvoorbeeld een standpunt zijn over de voor- en nadelen van een theorie of een actueel probleem. Hier komt het erop aan om na een grondige analyse je standpunt te formuleren met duidelijke argumenten en aan de hand van de leerstof.</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Communicatie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Waarneming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hoofdstuk bestudeer je hoe we waarnemen.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onderdelen van het waarnemingsproces:</w:t>
            </w:r>
          </w:p>
          <w:p>
            <w:pPr>
              <w:pStyle w:val="ListParagraph"/>
              <w:numPr>
                <w:ilvl w:val="0"/>
                <w:numId w:val="8"/>
              </w:numPr>
            </w:pPr>
            <w:r>
              <w:rPr/>
              <w:t xml:space="preserve">de prikkel</w:t>
            </w:r>
          </w:p>
          <w:p>
            <w:pPr>
              <w:pStyle w:val="ListParagraph"/>
              <w:numPr>
                <w:ilvl w:val="0"/>
                <w:numId w:val="8"/>
              </w:numPr>
            </w:pPr>
            <w:r>
              <w:rPr/>
              <w:t xml:space="preserve">de gewaarwording</w:t>
            </w:r>
          </w:p>
          <w:p>
            <w:pPr>
              <w:pStyle w:val="ListParagraph"/>
              <w:numPr>
                <w:ilvl w:val="0"/>
                <w:numId w:val="8"/>
              </w:numPr>
            </w:pPr>
            <w:r>
              <w:rPr/>
              <w:t xml:space="preserve">de waarneming</w:t>
            </w:r>
          </w:p>
          <w:p>
            <w:pPr>
              <w:pStyle w:val="ListParagraph"/>
              <w:numPr>
                <w:ilvl w:val="0"/>
                <w:numId w:val="8"/>
              </w:numPr>
            </w:pPr>
            <w:r>
              <w:rPr/>
              <w:t xml:space="preserve">de interpretatie of de perceptie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onderdelen van het waarnemingsproces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waarneming: de zintuigen:</w:t>
            </w:r>
          </w:p>
          <w:p>
            <w:pPr>
              <w:pStyle w:val="ListParagraph"/>
              <w:numPr>
                <w:ilvl w:val="0"/>
                <w:numId w:val="9"/>
              </w:numPr>
            </w:pPr>
            <w:r>
              <w:rPr/>
              <w:t xml:space="preserve">het zicht</w:t>
            </w:r>
          </w:p>
          <w:p>
            <w:pPr>
              <w:pStyle w:val="ListParagraph"/>
              <w:numPr>
                <w:ilvl w:val="0"/>
                <w:numId w:val="9"/>
              </w:numPr>
            </w:pPr>
            <w:r>
              <w:rPr/>
              <w:t xml:space="preserve">het gehoor</w:t>
            </w:r>
          </w:p>
          <w:p>
            <w:pPr>
              <w:pStyle w:val="ListParagraph"/>
              <w:numPr>
                <w:ilvl w:val="0"/>
                <w:numId w:val="9"/>
              </w:numPr>
            </w:pPr>
            <w:r>
              <w:rPr/>
              <w:t xml:space="preserve">de tastzin</w:t>
            </w:r>
          </w:p>
          <w:p>
            <w:pPr>
              <w:pStyle w:val="ListParagraph"/>
              <w:numPr>
                <w:ilvl w:val="0"/>
                <w:numId w:val="9"/>
              </w:numPr>
            </w:pPr>
            <w:r>
              <w:rPr/>
              <w:t xml:space="preserve">de reukzin</w:t>
            </w:r>
          </w:p>
          <w:p>
            <w:pPr>
              <w:pStyle w:val="ListParagraph"/>
              <w:numPr>
                <w:ilvl w:val="0"/>
                <w:numId w:val="9"/>
              </w:numPr>
            </w:pPr>
            <w:r>
              <w:rPr/>
              <w:t xml:space="preserve">de smaak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waarneming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factoren die de waarneming beïnvloeden:</w:t>
            </w:r>
          </w:p>
          <w:p>
            <w:pPr>
              <w:pStyle w:val="ListParagraph"/>
              <w:numPr>
                <w:ilvl w:val="0"/>
                <w:numId w:val="10"/>
              </w:numPr>
            </w:pPr>
            <w:r>
              <w:rPr/>
              <w:t xml:space="preserve">de fysiologische toestand</w:t>
            </w:r>
          </w:p>
          <w:p>
            <w:pPr>
              <w:pStyle w:val="ListParagraph"/>
              <w:numPr>
                <w:ilvl w:val="0"/>
                <w:numId w:val="10"/>
              </w:numPr>
            </w:pPr>
            <w:r>
              <w:rPr/>
              <w:t xml:space="preserve">de beperkingen van de mogelijkheden van de zintuigen</w:t>
            </w:r>
          </w:p>
          <w:p>
            <w:pPr>
              <w:pStyle w:val="ListParagraph"/>
              <w:numPr>
                <w:ilvl w:val="0"/>
                <w:numId w:val="10"/>
              </w:numPr>
            </w:pPr>
            <w:r>
              <w:rPr/>
              <w:t xml:space="preserve">deze psychologische factoren: aandacht, voorkennis, context, verwachtingspatroon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processen die de waarneming organiseren:</w:t>
            </w:r>
          </w:p>
          <w:p>
            <w:pPr>
              <w:pStyle w:val="ListParagraph"/>
              <w:numPr>
                <w:ilvl w:val="0"/>
                <w:numId w:val="11"/>
              </w:numPr>
            </w:pPr>
            <w:r>
              <w:rPr/>
              <w:t xml:space="preserve">de achtergrond of de voorgrond</w:t>
            </w:r>
          </w:p>
          <w:p>
            <w:pPr>
              <w:pStyle w:val="ListParagraph"/>
              <w:numPr>
                <w:ilvl w:val="0"/>
                <w:numId w:val="11"/>
              </w:numPr>
            </w:pPr>
            <w:r>
              <w:rPr/>
              <w:t xml:space="preserve">het geheel is meer dan de som van de delen</w:t>
            </w:r>
          </w:p>
          <w:p>
            <w:pPr>
              <w:pStyle w:val="ListParagraph"/>
              <w:numPr>
                <w:ilvl w:val="0"/>
                <w:numId w:val="11"/>
              </w:numPr>
            </w:pPr>
            <w:r>
              <w:rPr/>
              <w:t xml:space="preserve">de groeperingswetten: de nabijheid, de gelijkheid, de geslotenheid, de goede vooruitgang, de eenvoud, de symmetrie</w:t>
            </w:r>
          </w:p>
          <w:p>
            <w:pPr>
              <w:pStyle w:val="ListParagraph"/>
              <w:numPr>
                <w:ilvl w:val="0"/>
                <w:numId w:val="11"/>
              </w:numPr>
            </w:pPr>
            <w:r>
              <w:rPr/>
              <w:t xml:space="preserve">illusies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processen beschrijven, illustreren en toepassen</w:t>
              <w:br/>
              <w:t xml:space="preserve"/>
              <w:br/>
              <w:t xml:space="preserve">beschrijven, illustreren en verklaren hoe deze processen onze waarneming vervormen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Invloed van de context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Hier ontdek je dat de context in sterke mate bepaalt hoe wij personen waarnemen.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mechanismen die de perceptie van persoonlijkheidskenmerken beïnvloeden:</w:t>
              <w:br/>
              <w:t xml:space="preserve"/>
            </w:r>
          </w:p>
          <w:p>
            <w:pPr>
              <w:pStyle w:val="ListParagraph"/>
              <w:numPr>
                <w:ilvl w:val="0"/>
                <w:numId w:val="12"/>
              </w:numPr>
            </w:pPr>
            <w:r>
              <w:rPr/>
              <w:t xml:space="preserve">de eerste indruk</w:t>
            </w:r>
          </w:p>
          <w:p>
            <w:pPr>
              <w:pStyle w:val="ListParagraph"/>
              <w:numPr>
                <w:ilvl w:val="0"/>
                <w:numId w:val="12"/>
              </w:numPr>
            </w:pPr>
            <w:r>
              <w:rPr/>
              <w:t xml:space="preserve">de causale attributie</w:t>
            </w:r>
          </w:p>
          <w:p>
            <w:pPr>
              <w:pStyle w:val="ListParagraph"/>
              <w:numPr>
                <w:ilvl w:val="0"/>
                <w:numId w:val="12"/>
              </w:numPr>
            </w:pPr>
            <w:r>
              <w:rPr/>
              <w:t xml:space="preserve">de stereotypering</w:t>
            </w:r>
          </w:p>
          <w:p>
            <w:pPr>
              <w:pStyle w:val="ListParagraph"/>
              <w:numPr>
                <w:ilvl w:val="0"/>
                <w:numId w:val="12"/>
              </w:numPr>
            </w:pPr>
            <w:r>
              <w:rPr/>
              <w:t xml:space="preserve">het vooroordeel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mechanismen beschrijven, verklaren,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mechanismen in verband met de context die de perceptie van persoonlijkheidskenmerken beïnvloeden:</w:t>
              <w:br/>
              <w:t xml:space="preserve"/>
            </w:r>
          </w:p>
          <w:p>
            <w:pPr>
              <w:pStyle w:val="ListParagraph"/>
              <w:numPr>
                <w:ilvl w:val="0"/>
                <w:numId w:val="13"/>
              </w:numPr>
            </w:pPr>
            <w:r>
              <w:rPr/>
              <w:t xml:space="preserve">de rol van het geheel of deelindruk</w:t>
            </w:r>
          </w:p>
          <w:p>
            <w:pPr>
              <w:pStyle w:val="ListParagraph"/>
              <w:numPr>
                <w:ilvl w:val="0"/>
                <w:numId w:val="13"/>
              </w:numPr>
            </w:pPr>
            <w:r>
              <w:rPr/>
              <w:t xml:space="preserve">het gedrag binnen een positieve of negatieve context</w:t>
            </w:r>
          </w:p>
          <w:p>
            <w:pPr>
              <w:pStyle w:val="ListParagraph"/>
              <w:numPr>
                <w:ilvl w:val="0"/>
                <w:numId w:val="13"/>
              </w:numPr>
            </w:pPr>
            <w:r>
              <w:rPr/>
              <w:t xml:space="preserve">de volgorde van informatie</w:t>
            </w:r>
          </w:p>
          <w:p>
            <w:pPr>
              <w:pStyle w:val="ListParagraph"/>
              <w:numPr>
                <w:ilvl w:val="0"/>
                <w:numId w:val="13"/>
              </w:numPr>
            </w:pPr>
            <w:r>
              <w:rPr/>
              <w:t xml:space="preserve">het halo- en het horn-effect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mechanismen beschrijven, verklaren,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 Communicatie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communicatie analyseren.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communicatieproces:</w:t>
            </w:r>
          </w:p>
          <w:p>
            <w:pPr>
              <w:pStyle w:val="ListParagraph"/>
              <w:numPr>
                <w:ilvl w:val="0"/>
                <w:numId w:val="14"/>
              </w:numPr>
            </w:pPr>
            <w:r>
              <w:rPr/>
              <w:t xml:space="preserve">de communicatie</w:t>
            </w:r>
          </w:p>
          <w:p>
            <w:pPr>
              <w:pStyle w:val="ListParagraph"/>
              <w:numPr>
                <w:ilvl w:val="0"/>
                <w:numId w:val="14"/>
              </w:numPr>
            </w:pPr>
            <w:r>
              <w:rPr/>
              <w:t xml:space="preserve">de zender</w:t>
            </w:r>
          </w:p>
          <w:p>
            <w:pPr>
              <w:pStyle w:val="ListParagraph"/>
              <w:numPr>
                <w:ilvl w:val="0"/>
                <w:numId w:val="14"/>
              </w:numPr>
            </w:pPr>
            <w:r>
              <w:rPr/>
              <w:t xml:space="preserve">de boodschap</w:t>
            </w:r>
          </w:p>
          <w:p>
            <w:pPr>
              <w:pStyle w:val="ListParagraph"/>
              <w:numPr>
                <w:ilvl w:val="0"/>
                <w:numId w:val="14"/>
              </w:numPr>
            </w:pPr>
            <w:r>
              <w:rPr/>
              <w:t xml:space="preserve">de ontvanger</w:t>
            </w:r>
          </w:p>
          <w:p>
            <w:pPr>
              <w:pStyle w:val="ListParagraph"/>
              <w:numPr>
                <w:ilvl w:val="0"/>
                <w:numId w:val="14"/>
              </w:numPr>
            </w:pPr>
            <w:r>
              <w:rPr/>
              <w:t xml:space="preserve">de feedback</w:t>
            </w:r>
          </w:p>
          <w:p>
            <w:pPr>
              <w:pStyle w:val="ListParagraph"/>
              <w:numPr>
                <w:ilvl w:val="0"/>
                <w:numId w:val="14"/>
              </w:numPr>
            </w:pPr>
            <w:r>
              <w:rPr/>
              <w:t xml:space="preserve">het kanaal</w:t>
            </w:r>
          </w:p>
          <w:p>
            <w:pPr>
              <w:pStyle w:val="ListParagraph"/>
              <w:numPr>
                <w:ilvl w:val="0"/>
                <w:numId w:val="14"/>
              </w:numPr>
            </w:pPr>
            <w:r>
              <w:rPr/>
              <w:t xml:space="preserve">de interactie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communicatieproces schematisch voorstellen</w:t>
              <w:br/>
              <w:t xml:space="preserve"/>
              <w:br/>
              <w:t xml:space="preserve">deze elementen van het communicatieproces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niveaus van communicatie:</w:t>
            </w:r>
          </w:p>
          <w:p>
            <w:pPr>
              <w:pStyle w:val="ListParagraph"/>
              <w:numPr>
                <w:ilvl w:val="0"/>
                <w:numId w:val="15"/>
              </w:numPr>
            </w:pPr>
            <w:r>
              <w:rPr/>
              <w:t xml:space="preserve">het betrekkingsniveau</w:t>
            </w:r>
          </w:p>
          <w:p>
            <w:pPr>
              <w:pStyle w:val="ListParagraph"/>
              <w:numPr>
                <w:ilvl w:val="0"/>
                <w:numId w:val="15"/>
              </w:numPr>
            </w:pPr>
            <w:r>
              <w:rPr/>
              <w:t xml:space="preserve">het inhoudsniveau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beide niveaus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vormen van communicatie:</w:t>
            </w:r>
          </w:p>
          <w:p>
            <w:pPr>
              <w:pStyle w:val="ListParagraph"/>
              <w:numPr>
                <w:ilvl w:val="0"/>
                <w:numId w:val="16"/>
              </w:numPr>
            </w:pPr>
            <w:r>
              <w:rPr/>
              <w:t xml:space="preserve">de verbale communicatie</w:t>
            </w:r>
          </w:p>
          <w:p>
            <w:pPr>
              <w:pStyle w:val="ListParagraph"/>
              <w:numPr>
                <w:ilvl w:val="0"/>
                <w:numId w:val="16"/>
              </w:numPr>
            </w:pPr>
            <w:r>
              <w:rPr/>
              <w:t xml:space="preserve">de non-verbale communicatie</w:t>
            </w:r>
          </w:p>
          <w:p>
            <w:pPr>
              <w:pStyle w:val="ListParagraph"/>
              <w:numPr>
                <w:ilvl w:val="0"/>
                <w:numId w:val="16"/>
              </w:numPr>
            </w:pPr>
            <w:r>
              <w:rPr/>
              <w:t xml:space="preserve">de subverbale communicatie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communicatie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socio-culturele factoren op communicatie</w:t>
            </w:r>
          </w:p>
          <w:p>
            <w:pPr>
              <w:pStyle w:val="ListParagraph"/>
              <w:numPr>
                <w:ilvl w:val="0"/>
                <w:numId w:val="17"/>
              </w:numPr>
            </w:pPr>
            <w:r>
              <w:rPr/>
              <w:t xml:space="preserve">de invloed van het opvoedingsmilieu</w:t>
            </w:r>
          </w:p>
          <w:p>
            <w:pPr>
              <w:pStyle w:val="ListParagraph"/>
              <w:numPr>
                <w:ilvl w:val="0"/>
                <w:numId w:val="17"/>
              </w:numPr>
            </w:pPr>
            <w:r>
              <w:rPr/>
              <w:t xml:space="preserve">de invloed van de cultuur</w:t>
            </w:r>
          </w:p>
          <w:p>
            <w:pPr>
              <w:pStyle w:val="ListParagraph"/>
              <w:numPr>
                <w:ilvl w:val="0"/>
                <w:numId w:val="17"/>
              </w:numPr>
            </w:pPr>
            <w:r>
              <w:rPr/>
              <w:t xml:space="preserve">de invloed van de scholingsgraad</w:t>
            </w:r>
          </w:p>
          <w:p>
            <w:pPr>
              <w:pStyle w:val="ListParagraph"/>
              <w:numPr>
                <w:ilvl w:val="0"/>
                <w:numId w:val="17"/>
              </w:numPr>
            </w:pPr>
            <w:r>
              <w:rPr/>
              <w:t xml:space="preserve">de invloed van de sociaaleconomische status</w:t>
            </w:r>
          </w:p>
          <w:p>
            <w:pPr>
              <w:pStyle w:val="ListParagraph"/>
              <w:numPr>
                <w:ilvl w:val="0"/>
                <w:numId w:val="17"/>
              </w:numPr>
            </w:pPr>
            <w:r>
              <w:rPr/>
              <w:t xml:space="preserve">de invloed van de leeftijdsgroep</w:t>
            </w:r>
          </w:p>
          <w:p>
            <w:pPr>
              <w:pStyle w:val="ListParagraph"/>
              <w:numPr>
                <w:ilvl w:val="0"/>
                <w:numId w:val="17"/>
              </w:numPr>
            </w:pPr>
            <w:r>
              <w:rPr/>
              <w:t xml:space="preserve">de invloed van het geslacht of het gender</w:t>
            </w:r>
          </w:p>
          <w:p>
            <w:pPr>
              <w:pStyle w:val="ListParagraph"/>
              <w:numPr>
                <w:ilvl w:val="0"/>
                <w:numId w:val="17"/>
              </w:numPr>
            </w:pPr>
            <w:r>
              <w:rPr/>
              <w:t xml:space="preserve">de invloed van de religie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verklaren, illustreren en analyseren hoe socio-culturele factoren een invloed hebben op communicatie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 Omgangsvaardigheden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analyseer je enkele communicatieve vaardigheden en pas je ze toe.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principes van actief luisteren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non-verbale, verbale en subverbale componenten van actief luisteren beschrijven, illustreren en toepassen</w:t>
              <w:br/>
              <w:t xml:space="preserve"/>
              <w:br/>
              <w:t xml:space="preserve">vaardigheden van actief luisteren toepassen</w:t>
              <w:br/>
              <w:t xml:space="preserve"/>
              <w:br/>
              <w:t xml:space="preserve">de rol van coderen en decoderen beschrijven en illustreren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ik-boodschap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elementen van de ik-boodschap benoemen</w:t>
              <w:br/>
              <w:t xml:space="preserve"/>
              <w:br/>
              <w:t xml:space="preserve">een correcte ik-boodschap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(niet) opkomen voor zichzelf:</w:t>
            </w:r>
          </w:p>
          <w:p>
            <w:pPr>
              <w:pStyle w:val="ListParagraph"/>
              <w:numPr>
                <w:ilvl w:val="0"/>
                <w:numId w:val="18"/>
              </w:numPr>
            </w:pPr>
            <w:r>
              <w:rPr/>
              <w:t xml:space="preserve">assertiviteit</w:t>
            </w:r>
          </w:p>
          <w:p>
            <w:pPr>
              <w:pStyle w:val="ListParagraph"/>
              <w:numPr>
                <w:ilvl w:val="0"/>
                <w:numId w:val="18"/>
              </w:numPr>
            </w:pPr>
            <w:r>
              <w:rPr/>
              <w:t xml:space="preserve">subassertiviteit</w:t>
            </w:r>
          </w:p>
          <w:p>
            <w:pPr>
              <w:pStyle w:val="ListParagraph"/>
              <w:numPr>
                <w:ilvl w:val="0"/>
                <w:numId w:val="18"/>
              </w:numPr>
            </w:pPr>
            <w:r>
              <w:rPr/>
              <w:t xml:space="preserve">agressiviteit</w:t>
            </w:r>
          </w:p>
          <w:p>
            <w:pPr>
              <w:pStyle w:val="ListParagraph"/>
              <w:numPr>
                <w:ilvl w:val="0"/>
                <w:numId w:val="18"/>
              </w:numPr>
            </w:pPr>
            <w:r>
              <w:rPr/>
              <w:t xml:space="preserve">vermijding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illustreren en toepassen hoe je (niet) voor jezelf kan opkomen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omgaan met kritiek:</w:t>
            </w:r>
          </w:p>
          <w:p>
            <w:pPr>
              <w:pStyle w:val="ListParagraph"/>
              <w:numPr>
                <w:ilvl w:val="0"/>
                <w:numId w:val="19"/>
              </w:numPr>
            </w:pPr>
            <w:r>
              <w:rPr/>
              <w:t xml:space="preserve">deze aspecten van kritiek: het gedrag, de beleving, de vorm</w:t>
            </w:r>
          </w:p>
          <w:p>
            <w:pPr>
              <w:pStyle w:val="ListParagraph"/>
              <w:numPr>
                <w:ilvl w:val="0"/>
                <w:numId w:val="19"/>
              </w:numPr>
            </w:pPr>
            <w:r>
              <w:rPr/>
              <w:t xml:space="preserve">reacties op kritiek: vechten, vluchten, vermijden, verstarren, negeren, instemmen, er iets uit leren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ze aspecten van kritiek beschrijven, illustreren en toepassen</w:t>
              <w:br/>
              <w:t xml:space="preserve"/>
              <w:br/>
              <w:t xml:space="preserve">deze reacties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Denken over mens en samenleving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Ontwikkeling van het individu</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hoofdstuk bekijk je de ontwikkeling van een individu, van de geboorte tot de dood.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vormen van ontwikkeling:</w:t>
            </w:r>
          </w:p>
          <w:p>
            <w:pPr>
              <w:pStyle w:val="ListParagraph"/>
              <w:numPr>
                <w:ilvl w:val="0"/>
                <w:numId w:val="20"/>
              </w:numPr>
            </w:pPr>
            <w:r>
              <w:rPr/>
              <w:t xml:space="preserve">groeien, rijpen, leren</w:t>
            </w:r>
          </w:p>
          <w:p>
            <w:pPr>
              <w:pStyle w:val="ListParagraph"/>
              <w:numPr>
                <w:ilvl w:val="0"/>
                <w:numId w:val="20"/>
              </w:numPr>
            </w:pPr>
            <w:r>
              <w:rPr/>
              <w:t xml:space="preserve">de lichamelijke, de motorische, de psychische, de sociale en de cognitieve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ontwikkeling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levensfasen:</w:t>
              <w:br/>
              <w:t xml:space="preserve">de prenatale fase, de babyfase , de peuterfase, de kleuterfase, de schoolkindfase, de adolescentie, de volwassenheid, de ouderdom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levensfasen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babyfase:</w:t>
            </w:r>
          </w:p>
          <w:p>
            <w:pPr>
              <w:pStyle w:val="ListParagraph"/>
              <w:numPr>
                <w:ilvl w:val="0"/>
                <w:numId w:val="21"/>
              </w:numPr>
            </w:pPr>
            <w:r>
              <w:rPr/>
              <w:t xml:space="preserve">de motorische ontwikkeling: de grove motoriek en de  fijne motoriek</w:t>
            </w:r>
          </w:p>
          <w:p>
            <w:pPr>
              <w:pStyle w:val="ListParagraph"/>
              <w:numPr>
                <w:ilvl w:val="0"/>
                <w:numId w:val="21"/>
              </w:numPr>
            </w:pPr>
            <w:r>
              <w:rPr/>
              <w:t xml:space="preserve">hechting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grove en de fijne motorische ontwikkeling van baby’s beschrijven, illustreren en toepassen</w:t>
              <w:br/>
              <w:t xml:space="preserve"/>
              <w:br/>
              <w:t xml:space="preserve">de hechting van baby’s beschrijven, illustreren en toepassen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peuterfase:</w:t>
            </w:r>
          </w:p>
          <w:p>
            <w:pPr>
              <w:pStyle w:val="ListParagraph"/>
              <w:numPr>
                <w:ilvl w:val="0"/>
                <w:numId w:val="22"/>
              </w:numPr>
            </w:pPr>
            <w:r>
              <w:rPr/>
              <w:t xml:space="preserve">de taalontwikkeling</w:t>
            </w:r>
          </w:p>
          <w:p>
            <w:pPr>
              <w:pStyle w:val="ListParagraph"/>
              <w:numPr>
                <w:ilvl w:val="0"/>
                <w:numId w:val="22"/>
              </w:numPr>
            </w:pPr>
            <w:r>
              <w:rPr/>
              <w:t xml:space="preserve">de sociale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taalontwikkeling en de sociale ontwikkeling van peuters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kleuterfase:</w:t>
              <w:br/>
              <w:t xml:space="preserve"/>
            </w:r>
          </w:p>
          <w:p>
            <w:pPr>
              <w:pStyle w:val="ListParagraph"/>
              <w:numPr>
                <w:ilvl w:val="0"/>
                <w:numId w:val="23"/>
              </w:numPr>
            </w:pPr>
            <w:r>
              <w:rPr/>
              <w:t xml:space="preserve">de sociale ontwikkeling</w:t>
            </w:r>
          </w:p>
          <w:p>
            <w:pPr>
              <w:pStyle w:val="ListParagraph"/>
              <w:numPr>
                <w:ilvl w:val="0"/>
                <w:numId w:val="23"/>
              </w:numPr>
            </w:pPr>
            <w:r>
              <w:rPr/>
              <w:t xml:space="preserve">de soorten spelletjes: de functiespelen, de imitatiespelen, de constructiespelen, de regelspelen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sociale ontwikkeling van kleuters beschrijven, illustreren en toepassen</w:t>
              <w:br/>
              <w:t xml:space="preserve"/>
              <w:br/>
              <w:t xml:space="preserve">deze soorten spelen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schoolkindfase:</w:t>
            </w:r>
          </w:p>
          <w:p>
            <w:pPr>
              <w:pStyle w:val="ListParagraph"/>
              <w:numPr>
                <w:ilvl w:val="0"/>
                <w:numId w:val="24"/>
              </w:numPr>
            </w:pPr>
            <w:r>
              <w:rPr/>
              <w:t xml:space="preserve">de cognitieve ontwikkeling: het praktisch en het theoretisch denken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cognitieve ontwikkeling van een schoolkind beschrijven, illustreren en toepassen</w:t>
              <w:br/>
              <w:t xml:space="preserve"/>
              <w:br/>
              <w:t xml:space="preserve">de twee vormen van denken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adolescentie:</w:t>
            </w:r>
          </w:p>
          <w:p>
            <w:pPr>
              <w:pStyle w:val="ListParagraph"/>
              <w:numPr>
                <w:ilvl w:val="0"/>
                <w:numId w:val="25"/>
              </w:numPr>
            </w:pPr>
            <w:r>
              <w:rPr/>
              <w:t xml:space="preserve">de lichamelijke ontwikkeling: de puberteit</w:t>
            </w:r>
          </w:p>
          <w:p>
            <w:pPr>
              <w:pStyle w:val="ListParagraph"/>
              <w:numPr>
                <w:ilvl w:val="0"/>
                <w:numId w:val="25"/>
              </w:numPr>
            </w:pPr>
            <w:r>
              <w:rPr/>
              <w:t xml:space="preserve">de psychische ontwikkeling: de ontwikkeling van het zelfbeeld en van de identiteit</w:t>
            </w:r>
          </w:p>
          <w:p>
            <w:pPr>
              <w:pStyle w:val="ListParagraph"/>
              <w:numPr>
                <w:ilvl w:val="0"/>
                <w:numId w:val="25"/>
              </w:numPr>
            </w:pPr>
            <w:r>
              <w:rPr/>
              <w:t xml:space="preserve">de sociale ontwikkeling: verwachtingen van de maatschappij (bv. overgangsrituelen, zelfstandigheid, onafhankelijkheid, juridische volwassenheid…), probleemgedrag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lichamelijke ontwikkeling tijdens de puberteit beschrijven en illustreren</w:t>
              <w:br/>
              <w:t xml:space="preserve"/>
              <w:br/>
              <w:t xml:space="preserve">de ontwikkeling van het zelfbeeld en de identiteit tijdens de puberteit beschrijven en illustreren</w:t>
              <w:br/>
              <w:t xml:space="preserve"/>
              <w:br/>
              <w:t xml:space="preserve">beschrijven en illustreren wat de maatschappij verwacht van adolescenten op verschillende leeftijden van de adolescentie</w:t>
              <w:br/>
              <w:t xml:space="preserve"/>
              <w:br/>
              <w:t xml:space="preserve">beschrijven, verklaren en illustreren waarom adolescenten regelmatig probleemgedrag 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volwassenheid:</w:t>
            </w:r>
          </w:p>
          <w:p>
            <w:pPr>
              <w:pStyle w:val="ListParagraph"/>
              <w:numPr>
                <w:ilvl w:val="0"/>
                <w:numId w:val="26"/>
              </w:numPr>
            </w:pPr>
            <w:r>
              <w:rPr/>
              <w:t xml:space="preserve">de vroege volwassenheid: het beroep, de start van het gezinsleven</w:t>
            </w:r>
          </w:p>
          <w:p>
            <w:pPr>
              <w:pStyle w:val="ListParagraph"/>
              <w:numPr>
                <w:ilvl w:val="0"/>
                <w:numId w:val="26"/>
              </w:numPr>
            </w:pPr>
            <w:r>
              <w:rPr/>
              <w:t xml:space="preserve">de middenvolwassenheid: de nuttigheid, de midlifecrisis</w:t>
            </w:r>
          </w:p>
          <w:p>
            <w:pPr>
              <w:pStyle w:val="ListParagraph"/>
              <w:numPr>
                <w:ilvl w:val="0"/>
                <w:numId w:val="26"/>
              </w:numPr>
            </w:pPr>
            <w:r>
              <w:rPr/>
              <w:t xml:space="preserve">de late volwassenheid: de lichamelijke veranderingen, het legenestsyndroom, de zorg voor de ouders, de pensionering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 fasen van de volwassenheid benoemen</w:t>
              <w:br/>
              <w:t xml:space="preserve"/>
              <w:br/>
              <w:t xml:space="preserve">voor elke fase de uitdagingen of veranderingen beschrijven, illustreren en toepasse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ouderdom:</w:t>
            </w:r>
          </w:p>
          <w:p>
            <w:pPr>
              <w:pStyle w:val="ListParagraph"/>
              <w:numPr>
                <w:ilvl w:val="0"/>
                <w:numId w:val="27"/>
              </w:numPr>
            </w:pPr>
            <w:r>
              <w:rPr/>
              <w:t xml:space="preserve">de lichamelijke verandering</w:t>
            </w:r>
          </w:p>
          <w:p>
            <w:pPr>
              <w:pStyle w:val="ListParagraph"/>
              <w:numPr>
                <w:ilvl w:val="0"/>
                <w:numId w:val="27"/>
              </w:numPr>
            </w:pPr>
            <w:r>
              <w:rPr/>
              <w:t xml:space="preserve">de cognitieve verandering</w:t>
            </w:r>
          </w:p>
          <w:p>
            <w:pPr>
              <w:pStyle w:val="ListParagraph"/>
              <w:numPr>
                <w:ilvl w:val="0"/>
                <w:numId w:val="27"/>
              </w:numPr>
            </w:pPr>
            <w:r>
              <w:rPr/>
              <w:t xml:space="preserve">de stereotypen over ouderdom</w:t>
            </w:r>
          </w:p>
          <w:p>
            <w:pPr>
              <w:pStyle w:val="ListParagraph"/>
              <w:numPr>
                <w:ilvl w:val="0"/>
                <w:numId w:val="27"/>
              </w:numPr>
            </w:pPr>
            <w:r>
              <w:rPr/>
              <w:t xml:space="preserve">de afhankelijkheid en de vereenzaming</w:t>
            </w:r>
          </w:p>
          <w:p>
            <w:pPr>
              <w:pStyle w:val="ListParagraph"/>
              <w:numPr>
                <w:ilvl w:val="0"/>
                <w:numId w:val="27"/>
              </w:numPr>
            </w:pPr>
            <w:r>
              <w:rPr/>
              <w:t xml:space="preserve">de dood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individuele en maatschappelijke uitdagingen en veranderingen van de ouderdom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psychosociale ontwikkeling volgens Erikson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acht fasen van de theorie van Erikson beschrijven, illustreren en toepassen</w:t>
              <w:br/>
              <w:t xml:space="preserve"/>
              <w:br/>
              <w:t xml:space="preserve">de ontwikkelingstaken en bijbehorende tegenpolen bij elke fase beschrijven,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Zelfbeeld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Hier bekijk je wat een zelfbeeld is, welke vormen er zijn en hoe het ontstaat.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begrippen:</w:t>
            </w:r>
          </w:p>
          <w:p>
            <w:pPr>
              <w:pStyle w:val="ListParagraph"/>
              <w:numPr>
                <w:ilvl w:val="0"/>
                <w:numId w:val="28"/>
              </w:numPr>
            </w:pPr>
            <w:r>
              <w:rPr/>
              <w:t xml:space="preserve">de persoonlijkheid</w:t>
            </w:r>
          </w:p>
          <w:p>
            <w:pPr>
              <w:pStyle w:val="ListParagraph"/>
              <w:numPr>
                <w:ilvl w:val="0"/>
                <w:numId w:val="28"/>
              </w:numPr>
            </w:pPr>
            <w:r>
              <w:rPr/>
              <w:t xml:space="preserve">het zelfbeeld</w:t>
            </w:r>
          </w:p>
          <w:p>
            <w:pPr>
              <w:pStyle w:val="ListParagraph"/>
              <w:numPr>
                <w:ilvl w:val="0"/>
                <w:numId w:val="28"/>
              </w:numPr>
            </w:pPr>
            <w:r>
              <w:rPr/>
              <w:t xml:space="preserve">het 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positief en het negatief zelfbeeld, het actueel en het ideaal zelfbeeld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het zelfbeeld:</w:t>
            </w:r>
          </w:p>
          <w:p>
            <w:pPr>
              <w:pStyle w:val="ListParagraph"/>
              <w:numPr>
                <w:ilvl w:val="0"/>
                <w:numId w:val="29"/>
              </w:numPr>
            </w:pPr>
            <w:r>
              <w:rPr/>
              <w:t xml:space="preserve">de invloed van anderen</w:t>
            </w:r>
          </w:p>
          <w:p>
            <w:pPr>
              <w:pStyle w:val="ListParagraph"/>
              <w:numPr>
                <w:ilvl w:val="0"/>
                <w:numId w:val="29"/>
              </w:numPr>
            </w:pPr>
            <w:r>
              <w:rPr/>
              <w:t xml:space="preserve">het stereotype</w:t>
            </w:r>
          </w:p>
          <w:p>
            <w:pPr>
              <w:pStyle w:val="ListParagraph"/>
              <w:numPr>
                <w:ilvl w:val="0"/>
                <w:numId w:val="29"/>
              </w:numPr>
            </w:pPr>
            <w:r>
              <w:rPr/>
              <w:t xml:space="preserve">de zelfattributie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toepassen</w:t>
              <w:br/>
              <w:t xml:space="preserve"/>
              <w:br/>
              <w:t xml:space="preserve">beschrijven hoe het zelfbeeld wordt ingevuld aan de hand van deze processen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 Waarden, normen en socialisatie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Hier moet je kunnen benoemen wat mensen belangrijk vinden en hoe ze dat tonen. Je moet de morele ontwikkeling van een individu kunnen analyseren en beschrijven hoe mensen waarden doorgeven.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begrippen:</w:t>
            </w:r>
          </w:p>
          <w:p>
            <w:pPr>
              <w:pStyle w:val="ListParagraph"/>
              <w:numPr>
                <w:ilvl w:val="0"/>
                <w:numId w:val="30"/>
              </w:numPr>
            </w:pPr>
            <w:r>
              <w:rPr/>
              <w:t xml:space="preserve">waarden</w:t>
            </w:r>
          </w:p>
          <w:p>
            <w:pPr>
              <w:pStyle w:val="ListParagraph"/>
              <w:numPr>
                <w:ilvl w:val="0"/>
                <w:numId w:val="30"/>
              </w:numPr>
            </w:pPr>
            <w:r>
              <w:rPr/>
              <w:t xml:space="preserve">normen</w:t>
            </w:r>
          </w:p>
          <w:p>
            <w:pPr>
              <w:pStyle w:val="ListParagraph"/>
              <w:numPr>
                <w:ilvl w:val="0"/>
                <w:numId w:val="30"/>
              </w:numPr>
            </w:pPr>
            <w:r>
              <w:rPr/>
              <w:t xml:space="preserve">attitudes</w:t>
            </w:r>
          </w:p>
          <w:p>
            <w:pPr>
              <w:pStyle w:val="ListParagraph"/>
              <w:numPr>
                <w:ilvl w:val="0"/>
                <w:numId w:val="30"/>
              </w:numPr>
            </w:pPr>
            <w:r>
              <w:rPr/>
              <w:t xml:space="preserve">socialisatie</w:t>
            </w:r>
          </w:p>
          <w:p>
            <w:pPr>
              <w:pStyle w:val="ListParagraph"/>
              <w:numPr>
                <w:ilvl w:val="0"/>
                <w:numId w:val="30"/>
              </w:numPr>
            </w:pPr>
            <w:r>
              <w:rPr/>
              <w:t xml:space="preserve">socialiserende instanties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waardeontwikkeling van het individu volgens Kohlberg:</w:t>
            </w:r>
          </w:p>
          <w:p>
            <w:pPr>
              <w:pStyle w:val="ListParagraph"/>
              <w:numPr>
                <w:ilvl w:val="0"/>
                <w:numId w:val="31"/>
              </w:numPr>
            </w:pPr>
            <w:r>
              <w:rPr/>
              <w:t xml:space="preserve">het preconventioneel niveau</w:t>
            </w:r>
          </w:p>
          <w:p>
            <w:pPr>
              <w:pStyle w:val="ListParagraph"/>
              <w:numPr>
                <w:ilvl w:val="0"/>
                <w:numId w:val="31"/>
              </w:numPr>
            </w:pPr>
            <w:r>
              <w:rPr/>
              <w:t xml:space="preserve">het conventioneel niveau</w:t>
            </w:r>
          </w:p>
          <w:p>
            <w:pPr>
              <w:pStyle w:val="ListParagraph"/>
              <w:numPr>
                <w:ilvl w:val="0"/>
                <w:numId w:val="31"/>
              </w:numPr>
            </w:pPr>
            <w:r>
              <w:rPr/>
              <w:t xml:space="preserve">het postconventioneel niveau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 niveaus van waardeontwikkeling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primaire socialisatie:</w:t>
            </w:r>
          </w:p>
          <w:p>
            <w:pPr>
              <w:pStyle w:val="ListParagraph"/>
              <w:numPr>
                <w:ilvl w:val="0"/>
                <w:numId w:val="32"/>
              </w:numPr>
            </w:pPr>
            <w:r>
              <w:rPr/>
              <w:t xml:space="preserve">het gezin</w:t>
            </w:r>
          </w:p>
          <w:p>
            <w:pPr>
              <w:pStyle w:val="ListParagraph"/>
              <w:numPr>
                <w:ilvl w:val="0"/>
                <w:numId w:val="32"/>
              </w:numPr>
            </w:pPr>
            <w:r>
              <w:rPr/>
              <w:t xml:space="preserve">de peergroup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primaire socialisatie beschrijven, illustreren en toepassen</w:t>
              <w:br/>
              <w:t xml:space="preserve"/>
              <w:br/>
              <w:t xml:space="preserve">de socialiserende instanties benoemen die betrokken zijn bij primaire socialisatie</w:t>
              <w:br/>
              <w:t xml:space="preserve"/>
              <w:br/>
              <w:t xml:space="preserve">beschrijven welke gedragingen, waarden en normen aangeleerd worden bij primaire socialisatie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secundaire socialisatie:</w:t>
            </w:r>
          </w:p>
          <w:p>
            <w:pPr>
              <w:pStyle w:val="ListParagraph"/>
              <w:numPr>
                <w:ilvl w:val="0"/>
                <w:numId w:val="33"/>
              </w:numPr>
            </w:pPr>
            <w:r>
              <w:rPr/>
              <w:t xml:space="preserve">de school</w:t>
            </w:r>
          </w:p>
          <w:p>
            <w:pPr>
              <w:pStyle w:val="ListParagraph"/>
              <w:numPr>
                <w:ilvl w:val="0"/>
                <w:numId w:val="33"/>
              </w:numPr>
            </w:pPr>
            <w:r>
              <w:rPr/>
              <w:t xml:space="preserve">de buurt</w:t>
            </w:r>
          </w:p>
          <w:p>
            <w:pPr>
              <w:pStyle w:val="ListParagraph"/>
              <w:numPr>
                <w:ilvl w:val="0"/>
                <w:numId w:val="33"/>
              </w:numPr>
            </w:pPr>
            <w:r>
              <w:rPr/>
              <w:t xml:space="preserve">het verenigingsleven</w:t>
            </w:r>
          </w:p>
          <w:p>
            <w:pPr>
              <w:pStyle w:val="ListParagraph"/>
              <w:numPr>
                <w:ilvl w:val="0"/>
                <w:numId w:val="33"/>
              </w:numPr>
            </w:pPr>
            <w:r>
              <w:rPr/>
              <w:t xml:space="preserve">het beroepsleven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secundaire socialisatie beschrijven, illustreren en toepassen</w:t>
              <w:br/>
              <w:t xml:space="preserve"/>
              <w:br/>
              <w:t xml:space="preserve">de socialiserende instanties benoemen die betrokken zijn bij secundaire socialisatie</w:t>
              <w:br/>
              <w:t xml:space="preserve"/>
              <w:br/>
              <w:t xml:space="preserve">beschrijven welke gedragingen, waarden en normen aangeleerd worden bij secundaire socialisatie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tertiaire socialisatie:</w:t>
            </w:r>
          </w:p>
          <w:p>
            <w:pPr>
              <w:pStyle w:val="ListParagraph"/>
              <w:numPr>
                <w:ilvl w:val="0"/>
                <w:numId w:val="34"/>
              </w:numPr>
            </w:pPr>
            <w:r>
              <w:rPr/>
              <w:t xml:space="preserve">de media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tertiaire socialisatie beschrijven, illustreren en toepassen</w:t>
              <w:br/>
              <w:t xml:space="preserve"/>
              <w:br/>
              <w:t xml:space="preserve">de socialiserende instantie benoemen die betrokken is bij tertiaire socialisatie</w:t>
              <w:br/>
              <w:t xml:space="preserve"/>
              <w:br/>
              <w:t xml:space="preserve">beschrijven en beoordelen welke gedragingen, waarden en normen aangeleerd worden bij tertiaire socialisatie</w:t>
              <w:br/>
              <w:t xml:space="preserve"/>
              <w:br/>
              <w:t xml:space="preserve">beschrijven wat het doel is van media</w:t>
              <w:br/>
              <w:t xml:space="preserve"/>
              <w:br/>
              <w:t xml:space="preserve">analyseren welke gevolgen dat doel heeft voor de waarden, normen en gedragingen die er doorgegeven worden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Organisatie en wisselwerking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Organisatievormen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moet je verschillende organisatievormen kunnen onderscheiden. Je moet jezelf en anderen kunnen situeren in organisaties.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groepering, een groep, een collectiviteit, een sociale categorie en een organisatie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organisatievormen benoemen, vergelijken, illustreren en toepassen</w:t>
              <w:br/>
              <w:t xml:space="preserve"/>
              <w:br/>
              <w:t xml:space="preserve">de kenmerken van deze organisatievormen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formele en informele organisaties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organisaties indelen op basis van formaliteit</w:t>
              <w:br/>
              <w:t xml:space="preserve"/>
              <w:br/>
              <w:t xml:space="preserve">de kenmerken van een formele en een informele organisatie benoemen en illustreren</w:t>
              <w:br/>
              <w:t xml:space="preserve"/>
              <w:br/>
              <w:t xml:space="preserve">formele en een informele organisaties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primaire en complexe organisaties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organisaties indelen op basis van complexiteit</w:t>
              <w:br/>
              <w:t xml:space="preserve"/>
              <w:br/>
              <w:t xml:space="preserve">de kenmerken van een primaire en een complexe organisatie benoemen en illustreren</w:t>
              <w:br/>
              <w:t xml:space="preserve"/>
              <w:br/>
              <w:t xml:space="preserve">primaire en complexe organisaties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gezin:</w:t>
            </w:r>
          </w:p>
          <w:p>
            <w:pPr>
              <w:pStyle w:val="ListParagraph"/>
              <w:numPr>
                <w:ilvl w:val="0"/>
                <w:numId w:val="35"/>
              </w:numPr>
            </w:pPr>
            <w:r>
              <w:rPr/>
              <w:t xml:space="preserve">de verschillende gezinsvormen: de familie, het kerngezin, het uitgebreid gezin, het eenoudergezin, het holebi-koppel, het nieuw samengesteld gezin, de voorziening voor bijzondere jeugdzorg, het adoptie- of pleeggezin, de alleenstaande</w:t>
            </w:r>
          </w:p>
          <w:p>
            <w:pPr>
              <w:pStyle w:val="ListParagraph"/>
              <w:numPr>
                <w:ilvl w:val="0"/>
                <w:numId w:val="35"/>
              </w:numPr>
            </w:pPr>
            <w:r>
              <w:rPr/>
              <w:t xml:space="preserve">de functies van het gezin: de voortplanting, de opvoeding en de socialisatie, de economische functie, de culturele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gezinsvormen benoemen, vergelijken, illustreren en toepassen</w:t>
              <w:br/>
              <w:t xml:space="preserve"/>
              <w:br/>
              <w:t xml:space="preserve">de evolutie beschrijven van de samenstelling en de organisatie van een gezin en een familie doorheen de tijd</w:t>
              <w:br/>
              <w:t xml:space="preserve"/>
              <w:br/>
              <w:t xml:space="preserve">cijfergegevens over gezinsvormen analyseren</w:t>
              <w:br/>
              <w:t xml:space="preserve">deze functies beschrijven en illustreren en toepassen</w:t>
              <w:br/>
              <w:t xml:space="preserve"/>
              <w:br/>
              <w:t xml:space="preserve">verschuivingen in de functies van het gezin doorheen de tijd kunnen beschrijven,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peergroup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peergroup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formele organisaties:</w:t>
            </w:r>
          </w:p>
          <w:p>
            <w:pPr>
              <w:pStyle w:val="ListParagraph"/>
              <w:numPr>
                <w:ilvl w:val="0"/>
                <w:numId w:val="36"/>
              </w:numPr>
            </w:pPr>
            <w:r>
              <w:rPr/>
              <w:t xml:space="preserve">de school</w:t>
            </w:r>
          </w:p>
          <w:p>
            <w:pPr>
              <w:pStyle w:val="ListParagraph"/>
              <w:numPr>
                <w:ilvl w:val="0"/>
                <w:numId w:val="36"/>
              </w:numPr>
            </w:pPr>
            <w:r>
              <w:rPr/>
              <w:t xml:space="preserve">de jeugdbeweging</w:t>
            </w:r>
          </w:p>
          <w:p>
            <w:pPr>
              <w:pStyle w:val="ListParagraph"/>
              <w:numPr>
                <w:ilvl w:val="0"/>
                <w:numId w:val="36"/>
              </w:numPr>
            </w:pPr>
            <w:r>
              <w:rPr/>
              <w:t xml:space="preserve">de milieuorganisatie</w:t>
            </w:r>
          </w:p>
          <w:p>
            <w:pPr>
              <w:pStyle w:val="ListParagraph"/>
              <w:numPr>
                <w:ilvl w:val="0"/>
                <w:numId w:val="36"/>
              </w:numPr>
            </w:pPr>
            <w:r>
              <w:rPr/>
              <w:t xml:space="preserve">de politieke partij</w:t>
            </w:r>
          </w:p>
          <w:p>
            <w:pPr>
              <w:pStyle w:val="ListParagraph"/>
              <w:numPr>
                <w:ilvl w:val="0"/>
                <w:numId w:val="36"/>
              </w:numPr>
            </w:pPr>
            <w:r>
              <w:rPr/>
              <w:t xml:space="preserve">het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deze organisaties formele organisaties zijn</w:t>
              <w:br/>
              <w:t xml:space="preserve"/>
              <w:br/>
              <w:t xml:space="preserve">deze formele organisaties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informele organisaties:</w:t>
            </w:r>
          </w:p>
          <w:p>
            <w:pPr>
              <w:pStyle w:val="ListParagraph"/>
              <w:numPr>
                <w:ilvl w:val="0"/>
                <w:numId w:val="37"/>
              </w:numPr>
            </w:pPr>
            <w:r>
              <w:rPr/>
              <w:t xml:space="preserve">het gezin</w:t>
            </w:r>
          </w:p>
          <w:p>
            <w:pPr>
              <w:pStyle w:val="ListParagraph"/>
              <w:numPr>
                <w:ilvl w:val="0"/>
                <w:numId w:val="37"/>
              </w:numPr>
            </w:pPr>
            <w:r>
              <w:rPr/>
              <w:t xml:space="preserve">de familie</w:t>
            </w:r>
          </w:p>
          <w:p>
            <w:pPr>
              <w:pStyle w:val="ListParagraph"/>
              <w:numPr>
                <w:ilvl w:val="0"/>
                <w:numId w:val="37"/>
              </w:numPr>
            </w:pPr>
            <w:r>
              <w:rPr/>
              <w:t xml:space="preserve">de buurt</w:t>
            </w:r>
          </w:p>
          <w:p>
            <w:pPr>
              <w:pStyle w:val="ListParagraph"/>
              <w:numPr>
                <w:ilvl w:val="0"/>
                <w:numId w:val="37"/>
              </w:numPr>
            </w:pPr>
            <w:r>
              <w:rPr/>
              <w:t xml:space="preserve">de vriendengroep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deze organisaties informele organisaties zijn</w:t>
              <w:br/>
              <w:t xml:space="preserve"/>
              <w:br/>
              <w:t xml:space="preserve">deze informele organisaties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jezelf en anderen situeren:</w:t>
            </w:r>
          </w:p>
          <w:p>
            <w:pPr>
              <w:pStyle w:val="ListParagraph"/>
              <w:numPr>
                <w:ilvl w:val="0"/>
                <w:numId w:val="38"/>
              </w:numPr>
            </w:pPr>
            <w:r>
              <w:rPr/>
              <w:t xml:space="preserve">in een gezin</w:t>
            </w:r>
          </w:p>
          <w:p>
            <w:pPr>
              <w:pStyle w:val="ListParagraph"/>
              <w:numPr>
                <w:ilvl w:val="0"/>
                <w:numId w:val="38"/>
              </w:numPr>
            </w:pPr>
            <w:r>
              <w:rPr/>
              <w:t xml:space="preserve">in een peergroup</w:t>
            </w:r>
          </w:p>
          <w:p>
            <w:pPr>
              <w:pStyle w:val="ListParagraph"/>
              <w:numPr>
                <w:ilvl w:val="0"/>
                <w:numId w:val="38"/>
              </w:numPr>
            </w:pPr>
            <w:r>
              <w:rPr/>
              <w:t xml:space="preserve">in een school</w:t>
            </w:r>
          </w:p>
          <w:p>
            <w:pPr>
              <w:pStyle w:val="ListParagraph"/>
              <w:numPr>
                <w:ilvl w:val="0"/>
                <w:numId w:val="38"/>
              </w:numPr>
            </w:pPr>
            <w:r>
              <w:rPr/>
              <w:t xml:space="preserve">in een vereniging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positie of rol van jezelf en van anderen in deze organisatievormen beschrijven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Invloed van organisaties en individuen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Hier moet je omschrijven hoe organisaties en de samenleving invloed hebben op mensen en omgekeerd.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een organisatie op de leden:</w:t>
            </w:r>
          </w:p>
          <w:p>
            <w:pPr>
              <w:pStyle w:val="ListParagraph"/>
              <w:numPr>
                <w:ilvl w:val="0"/>
                <w:numId w:val="39"/>
              </w:numPr>
            </w:pPr>
            <w:r>
              <w:rPr/>
              <w:t xml:space="preserve">het gezin</w:t>
            </w:r>
          </w:p>
          <w:p>
            <w:pPr>
              <w:pStyle w:val="ListParagraph"/>
              <w:numPr>
                <w:ilvl w:val="0"/>
                <w:numId w:val="39"/>
              </w:numPr>
            </w:pPr>
            <w:r>
              <w:rPr/>
              <w:t xml:space="preserve">de peergroup</w:t>
            </w:r>
          </w:p>
          <w:p>
            <w:pPr>
              <w:pStyle w:val="ListParagraph"/>
              <w:numPr>
                <w:ilvl w:val="0"/>
                <w:numId w:val="39"/>
              </w:numPr>
            </w:pPr>
            <w:r>
              <w:rPr/>
              <w:t xml:space="preserve">de school</w:t>
            </w:r>
          </w:p>
          <w:p>
            <w:pPr>
              <w:pStyle w:val="ListParagraph"/>
              <w:numPr>
                <w:ilvl w:val="0"/>
                <w:numId w:val="39"/>
              </w:numPr>
            </w:pPr>
            <w:r>
              <w:rPr/>
              <w:t xml:space="preserve">de vereniging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en analyseren wat de invloed is van organisaties op  hun leden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binnen een groep:</w:t>
            </w:r>
          </w:p>
          <w:p>
            <w:pPr>
              <w:pStyle w:val="ListParagraph"/>
              <w:numPr>
                <w:ilvl w:val="0"/>
                <w:numId w:val="40"/>
              </w:numPr>
            </w:pPr>
            <w:r>
              <w:rPr/>
              <w:t xml:space="preserve">de roos van Leary</w:t>
            </w:r>
          </w:p>
          <w:p>
            <w:pPr>
              <w:pStyle w:val="ListParagraph"/>
              <w:numPr>
                <w:ilvl w:val="0"/>
                <w:numId w:val="40"/>
              </w:numPr>
            </w:pPr>
            <w:r>
              <w:rPr/>
              <w:t xml:space="preserve">de axenroos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modellen beschrijven en toepassen</w:t>
              <w:br/>
              <w:t xml:space="preserve"/>
              <w:br/>
              <w:t xml:space="preserve">de rollen uit deze modellen beschrijven, illustreren, toepassen en vergelijken</w:t>
              <w:br/>
              <w:t xml:space="preserve"/>
              <w:br/>
              <w:t xml:space="preserve">de invloed van de rollen uit deze modellen op het gedrag van andere personen beschrijven,  verklaren, illustreren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personen en groepen:</w:t>
            </w:r>
          </w:p>
          <w:p>
            <w:pPr>
              <w:pStyle w:val="ListParagraph"/>
              <w:numPr>
                <w:ilvl w:val="0"/>
                <w:numId w:val="41"/>
              </w:numPr>
            </w:pPr>
            <w:r>
              <w:rPr/>
              <w:t xml:space="preserve">de conformiteit</w:t>
            </w:r>
          </w:p>
          <w:p>
            <w:pPr>
              <w:pStyle w:val="ListParagraph"/>
              <w:numPr>
                <w:ilvl w:val="0"/>
                <w:numId w:val="41"/>
              </w:numPr>
            </w:pPr>
            <w:r>
              <w:rPr/>
              <w:t xml:space="preserve">de gehoorzaamheid</w:t>
            </w:r>
          </w:p>
          <w:p>
            <w:pPr>
              <w:pStyle w:val="ListParagraph"/>
              <w:numPr>
                <w:ilvl w:val="0"/>
                <w:numId w:val="41"/>
              </w:numPr>
            </w:pPr>
            <w:r>
              <w:rPr/>
              <w:t xml:space="preserve">de macht</w:t>
            </w:r>
          </w:p>
          <w:p>
            <w:pPr>
              <w:pStyle w:val="ListParagraph"/>
              <w:numPr>
                <w:ilvl w:val="0"/>
                <w:numId w:val="41"/>
              </w:numPr>
            </w:pPr>
            <w:r>
              <w:rPr/>
              <w:t xml:space="preserve">het gezag</w:t>
            </w:r>
          </w:p>
          <w:p>
            <w:pPr>
              <w:pStyle w:val="ListParagraph"/>
              <w:numPr>
                <w:ilvl w:val="0"/>
                <w:numId w:val="41"/>
              </w:numPr>
            </w:pPr>
            <w:r>
              <w:rPr/>
              <w:t xml:space="preserve">de emancipatie</w:t>
            </w:r>
          </w:p>
          <w:p>
            <w:pPr>
              <w:pStyle w:val="ListParagraph"/>
              <w:numPr>
                <w:ilvl w:val="0"/>
                <w:numId w:val="41"/>
              </w:numPr>
            </w:pPr>
            <w:r>
              <w:rPr/>
              <w:t xml:space="preserve">assertiviteit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toepassen</w:t>
              <w:br/>
              <w:t xml:space="preserve"/>
              <w:br/>
              <w:t xml:space="preserve">beschrijven, verklaren, illustreren en analyseren hoe deze begrippen het gedrag van een individu en van een groep beïnvloeden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sociale rollen:</w:t>
            </w:r>
          </w:p>
          <w:p>
            <w:pPr>
              <w:pStyle w:val="ListParagraph"/>
              <w:numPr>
                <w:ilvl w:val="0"/>
                <w:numId w:val="42"/>
              </w:numPr>
            </w:pPr>
            <w:r>
              <w:rPr/>
              <w:t xml:space="preserve">de sociale positie</w:t>
            </w:r>
          </w:p>
          <w:p>
            <w:pPr>
              <w:pStyle w:val="ListParagraph"/>
              <w:numPr>
                <w:ilvl w:val="0"/>
                <w:numId w:val="42"/>
              </w:numPr>
            </w:pPr>
            <w:r>
              <w:rPr/>
              <w:t xml:space="preserve">de sociale rol</w:t>
            </w:r>
          </w:p>
          <w:p>
            <w:pPr>
              <w:pStyle w:val="ListParagraph"/>
              <w:numPr>
                <w:ilvl w:val="0"/>
                <w:numId w:val="42"/>
              </w:numPr>
            </w:pPr>
            <w:r>
              <w:rPr/>
              <w:t xml:space="preserve">het rolgedrag</w:t>
            </w:r>
          </w:p>
          <w:p>
            <w:pPr>
              <w:pStyle w:val="ListParagraph"/>
              <w:numPr>
                <w:ilvl w:val="0"/>
                <w:numId w:val="42"/>
              </w:numPr>
            </w:pPr>
            <w:r>
              <w:rPr/>
              <w:t xml:space="preserve">het rolconflict</w:t>
            </w:r>
          </w:p>
          <w:p>
            <w:pPr>
              <w:pStyle w:val="ListParagraph"/>
              <w:numPr>
                <w:ilvl w:val="0"/>
                <w:numId w:val="42"/>
              </w:numPr>
            </w:pPr>
            <w:r>
              <w:rPr/>
              <w:t xml:space="preserve">het rolpatroon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toepassen</w:t>
              <w:br/>
              <w:t xml:space="preserve"/>
              <w:br/>
              <w:t xml:space="preserve">beschrijven, verklaren, illustreren en analyseren hoe deze begrippen het gedrag van een individu en van een groep beïnvloeden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 Botsende belangen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in concrete cases verschillende belangen kunnen identificeren.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conflicten:</w:t>
            </w:r>
          </w:p>
          <w:p>
            <w:pPr>
              <w:pStyle w:val="ListParagraph"/>
              <w:numPr>
                <w:ilvl w:val="0"/>
                <w:numId w:val="43"/>
              </w:numPr>
            </w:pPr>
            <w:r>
              <w:rPr/>
              <w:t xml:space="preserve">het belangenconflict</w:t>
            </w:r>
          </w:p>
          <w:p>
            <w:pPr>
              <w:pStyle w:val="ListParagraph"/>
              <w:numPr>
                <w:ilvl w:val="0"/>
                <w:numId w:val="43"/>
              </w:numPr>
            </w:pPr>
            <w:r>
              <w:rPr/>
              <w:t xml:space="preserve">het waardenconflict</w:t>
            </w:r>
          </w:p>
          <w:p>
            <w:pPr>
              <w:pStyle w:val="ListParagraph"/>
              <w:numPr>
                <w:ilvl w:val="0"/>
                <w:numId w:val="43"/>
              </w:numPr>
            </w:pPr>
            <w:r>
              <w:rPr/>
              <w:t xml:space="preserve">het machtsconflict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conflicten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belangen:</w:t>
            </w:r>
          </w:p>
          <w:p>
            <w:pPr>
              <w:pStyle w:val="ListParagraph"/>
              <w:numPr>
                <w:ilvl w:val="0"/>
                <w:numId w:val="44"/>
              </w:numPr>
            </w:pPr>
            <w:r>
              <w:rPr/>
              <w:t xml:space="preserve">het individueel belang</w:t>
            </w:r>
          </w:p>
          <w:p>
            <w:pPr>
              <w:pStyle w:val="ListParagraph"/>
              <w:numPr>
                <w:ilvl w:val="0"/>
                <w:numId w:val="44"/>
              </w:numPr>
            </w:pPr>
            <w:r>
              <w:rPr/>
              <w:t xml:space="preserve">het groepsbelang</w:t>
            </w:r>
          </w:p>
          <w:p>
            <w:pPr>
              <w:pStyle w:val="ListParagraph"/>
              <w:numPr>
                <w:ilvl w:val="0"/>
                <w:numId w:val="44"/>
              </w:numPr>
            </w:pPr>
            <w:r>
              <w:rPr/>
              <w:t xml:space="preserve">het maatschappelijk belang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belangenconflicten analyseren welke belangen er botsen</w:t>
              <w:br/>
              <w:t xml:space="preserve"/>
              <w:br/>
              <w:t xml:space="preserve">deze begrippen beschrijven, illustreren en toepassen op situaties uit de actualiteit (bv. milieu, verkeer, mensenrechten,…)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verhouding tussen belangen:</w:t>
            </w:r>
          </w:p>
          <w:p>
            <w:pPr>
              <w:pStyle w:val="ListParagraph"/>
              <w:numPr>
                <w:ilvl w:val="0"/>
                <w:numId w:val="45"/>
              </w:numPr>
            </w:pPr>
            <w:r>
              <w:rPr/>
              <w:t xml:space="preserve">tegenstrijdige belangen</w:t>
            </w:r>
          </w:p>
          <w:p>
            <w:pPr>
              <w:pStyle w:val="ListParagraph"/>
              <w:numPr>
                <w:ilvl w:val="0"/>
                <w:numId w:val="45"/>
              </w:numPr>
            </w:pPr>
            <w:r>
              <w:rPr/>
              <w:t xml:space="preserve">gelijklopende belangen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belangenconflicten analyseren welke belangen er tegenstrijdig zijn en welke er gelijk lopen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Expressie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Emoties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de basisemoties kennen, de aspecten van emoties en hun functies.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basisemoties:</w:t>
            </w:r>
          </w:p>
          <w:p>
            <w:pPr>
              <w:pStyle w:val="ListParagraph"/>
              <w:numPr>
                <w:ilvl w:val="0"/>
                <w:numId w:val="46"/>
              </w:numPr>
            </w:pPr>
            <w:r>
              <w:rPr/>
              <w:t xml:space="preserve">blijdschap / geluk</w:t>
            </w:r>
          </w:p>
          <w:p>
            <w:pPr>
              <w:pStyle w:val="ListParagraph"/>
              <w:numPr>
                <w:ilvl w:val="0"/>
                <w:numId w:val="46"/>
              </w:numPr>
            </w:pPr>
            <w:r>
              <w:rPr/>
              <w:t xml:space="preserve">angst</w:t>
            </w:r>
          </w:p>
          <w:p>
            <w:pPr>
              <w:pStyle w:val="ListParagraph"/>
              <w:numPr>
                <w:ilvl w:val="0"/>
                <w:numId w:val="46"/>
              </w:numPr>
            </w:pPr>
            <w:r>
              <w:rPr/>
              <w:t xml:space="preserve">woede</w:t>
            </w:r>
          </w:p>
          <w:p>
            <w:pPr>
              <w:pStyle w:val="ListParagraph"/>
              <w:numPr>
                <w:ilvl w:val="0"/>
                <w:numId w:val="46"/>
              </w:numPr>
            </w:pPr>
            <w:r>
              <w:rPr/>
              <w:t xml:space="preserve">verdriet</w:t>
            </w:r>
          </w:p>
          <w:p>
            <w:pPr>
              <w:pStyle w:val="ListParagraph"/>
              <w:numPr>
                <w:ilvl w:val="0"/>
                <w:numId w:val="46"/>
              </w:numPr>
            </w:pPr>
            <w:r>
              <w:rPr/>
              <w:t xml:space="preserve">verbazing</w:t>
            </w:r>
          </w:p>
          <w:p>
            <w:pPr>
              <w:pStyle w:val="ListParagraph"/>
              <w:numPr>
                <w:ilvl w:val="0"/>
                <w:numId w:val="46"/>
              </w:numPr>
            </w:pPr>
            <w:r>
              <w:rPr/>
              <w:t xml:space="preserve">walging / afkeer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emotie beschrijven en illustreren </w:t>
              <w:br/>
              <w:t xml:space="preserve"> </w:t>
              <w:br/>
              <w:t xml:space="preserve">de zes basisemoties beschrijven, illustreren en toepassen</w:t>
              <w:br/>
              <w:t xml:space="preserve"/>
              <w:br/>
              <w:t xml:space="preserve">beschrijven waarom men deze emoties universeel noemt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aspecten van emotie:</w:t>
            </w:r>
          </w:p>
          <w:p>
            <w:pPr>
              <w:pStyle w:val="ListParagraph"/>
              <w:numPr>
                <w:ilvl w:val="0"/>
                <w:numId w:val="47"/>
              </w:numPr>
            </w:pPr>
            <w:r>
              <w:rPr/>
              <w:t xml:space="preserve">de aanleiding, de prikkel of de stimulus</w:t>
            </w:r>
          </w:p>
          <w:p>
            <w:pPr>
              <w:pStyle w:val="ListParagraph"/>
              <w:numPr>
                <w:ilvl w:val="0"/>
                <w:numId w:val="47"/>
              </w:numPr>
            </w:pPr>
            <w:r>
              <w:rPr/>
              <w:t xml:space="preserve">fysiologische processen: het zenuwstelsel, de hormonen, de hersenprocessen</w:t>
            </w:r>
          </w:p>
          <w:p>
            <w:pPr>
              <w:pStyle w:val="ListParagraph"/>
              <w:numPr>
                <w:ilvl w:val="0"/>
                <w:numId w:val="47"/>
              </w:numPr>
            </w:pPr>
            <w:r>
              <w:rPr/>
              <w:t xml:space="preserve">mentale processen: de emotie en de cognitieve processen</w:t>
            </w:r>
          </w:p>
          <w:p>
            <w:pPr>
              <w:pStyle w:val="ListParagraph"/>
              <w:numPr>
                <w:ilvl w:val="0"/>
                <w:numId w:val="47"/>
              </w:numPr>
            </w:pPr>
            <w:r>
              <w:rPr/>
              <w:t xml:space="preserve">het gedrag: de reflexen en het aangeleerd 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aspecten van emotie beschrijven, illustreren en toepassen</w:t>
              <w:br/>
              <w:t xml:space="preserve"/>
              <w:br/>
              <w:t xml:space="preserve">de fysiologische processen beschrijven en toepassen</w:t>
              <w:br/>
              <w:t xml:space="preserve"/>
              <w:br/>
              <w:t xml:space="preserve">de mentale processen beschrijven en toepassen</w:t>
              <w:br/>
              <w:t xml:space="preserve"/>
              <w:br/>
              <w:t xml:space="preserve">reflexen en aangeleerd gedrag onderscheiden van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emotie:</w:t>
            </w:r>
          </w:p>
          <w:p>
            <w:pPr>
              <w:pStyle w:val="ListParagraph"/>
              <w:numPr>
                <w:ilvl w:val="0"/>
                <w:numId w:val="48"/>
              </w:numPr>
            </w:pPr>
            <w:r>
              <w:rPr/>
              <w:t xml:space="preserve">aanpassen</w:t>
            </w:r>
          </w:p>
          <w:p>
            <w:pPr>
              <w:pStyle w:val="ListParagraph"/>
              <w:numPr>
                <w:ilvl w:val="0"/>
                <w:numId w:val="48"/>
              </w:numPr>
            </w:pPr>
            <w:r>
              <w:rPr/>
              <w:t xml:space="preserve">waarschuwen</w:t>
            </w:r>
          </w:p>
          <w:p>
            <w:pPr>
              <w:pStyle w:val="ListParagraph"/>
              <w:numPr>
                <w:ilvl w:val="0"/>
                <w:numId w:val="48"/>
              </w:numPr>
            </w:pPr>
            <w:r>
              <w:rPr/>
              <w:t xml:space="preserve">communiceren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van emoties beschrijven,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Lichaam en lichamelijkheid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deel beschrijf je hoe emoties een invloed hebben op ons lichaam en omgekeerd.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emotie en lichamelijke reacties:</w:t>
            </w:r>
          </w:p>
          <w:p>
            <w:pPr>
              <w:pStyle w:val="ListParagraph"/>
              <w:numPr>
                <w:ilvl w:val="0"/>
                <w:numId w:val="49"/>
              </w:numPr>
            </w:pPr>
            <w:r>
              <w:rPr/>
              <w:t xml:space="preserve">lichamelijke reacties, bv. zweten, rood worden…</w:t>
            </w:r>
          </w:p>
          <w:p>
            <w:pPr>
              <w:pStyle w:val="ListParagraph"/>
              <w:numPr>
                <w:ilvl w:val="0"/>
                <w:numId w:val="49"/>
              </w:numPr>
            </w:pPr>
            <w:r>
              <w:rPr/>
              <w:t xml:space="preserve">het autonoom zenuwstelsel en het willekeurig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emoties en lichamelijke reacties  beschrijven en illustreren</w:t>
              <w:br/>
              <w:t xml:space="preserve"/>
              <w:br/>
              <w:t xml:space="preserve">beide zenuwstelsels beschrijven, illustreren en toepassen</w:t>
              <w:br/>
              <w:t xml:space="preserve"/>
              <w:br/>
              <w:t xml:space="preserve">de twee zenuwstelsels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lichaam op emoties en gedrag:</w:t>
            </w:r>
          </w:p>
          <w:p>
            <w:pPr>
              <w:pStyle w:val="ListParagraph"/>
              <w:numPr>
                <w:ilvl w:val="0"/>
                <w:numId w:val="50"/>
              </w:numPr>
            </w:pPr>
            <w:r>
              <w:rPr/>
              <w:t xml:space="preserve">het verband tussen (lichamelijke) behoeften en gedrag: de behoeftetheorie van Maslow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vijf niveaus van behoeften beschrijven, illustreren en toepassen</w:t>
              <w:br/>
              <w:t xml:space="preserve"/>
              <w:br/>
              <w:t xml:space="preserve">de volgorde van bevrediging van behoeften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lichaamstaal op het sociaal functioneren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illustreren en verklaren hoe lichaamstaal een invloed heeft op het sociaal functioneren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lichaamsbeleving: bv. schoonheidsideaal, make up, kleding, tatoeages, piercings…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illustreren en verklaren waarom opvattingen over schoonheid kunnen verschillen</w:t>
              <w:br/>
              <w:t xml:space="preserve"/>
              <w:br/>
              <w:t xml:space="preserve">beschrijven, illustreren en verklaren hoe verschillende opvattingen over schoonheid een invloed hebben op het sociaal functioneren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 Emoties uiten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Hier onderzoek je welke uitingen van emoties aangeboren en aangeleerd zijn, en hoe de uitingen kunnen verschillen.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aangeboren en aangeleerde uitingen van emoties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en illustreren welke uitingen van emoties aangeboren zijn</w:t>
              <w:br/>
              <w:t xml:space="preserve"/>
              <w:br/>
              <w:t xml:space="preserve">beschrijven en illustreren welke uitingen van emoties aangeleerd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uiten en verbergen van emoties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manieren om emoties te uiten en te verbergen  beschrijven, illustreren en toepassen</w:t>
              <w:br/>
              <w:t xml:space="preserve"/>
              <w:br/>
              <w:t xml:space="preserve">beschrijven en verklaren wanneer het functioneel is om emoties te uiten of te verbergen</w:t>
              <w:br/>
              <w:t xml:space="preserve"/>
              <w:br/>
              <w:t xml:space="preserve">beschrijven en verklaren wanneer het niet functioneel is om emoties te uiten of te verbergen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cultuur op het uiten en verbergen van emoties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illustreren dat uitingen van emoties al dan niet aanvaard worden in bepaalde (sub)culturen</w:t>
              <w:br/>
              <w:t xml:space="preserve"/>
              <w:br/>
              <w:t xml:space="preserve">verklaren waarom uitingen van emoties al dan niet aanvaard worden in bepaalde (sub)culturen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Beoordelingswijzer meningsvraag.pdf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01-01-2018 tot 31-12-2018</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gedragswetenschappen 2aso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een balpen en 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Soms krijg je ook een open vraag, waarop je het antwoord intypt in het voorziene vak. Elk vraagtype heeft zijn eigen instructiezin, die duidelijk aangeeft wat je precies moet doen. Je kan de verschillende vraagtypes vooraf inoefenen.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om punten te scoren. Naargelang het vraagtype kan je voor een gedeeltelijk juist antwoord soms ook punten scoren.</w:t>
      </w:r>
    </w:p>
    <w:p>
      <w:pPr>
        <w:jc w:val="both"/>
      </w:pPr>
      <w:r>
        <w:t xml:space="preserve">Er is geen giscorrectie.</w:t>
      </w:r>
    </w:p>
    <w:p>
      <w:pPr>
        <w:jc w:val="both"/>
      </w:pPr>
      <w:r>
        <w:t xml:space="preserve"/>
      </w:r>
    </w:p>
    <w:p>
      <w:pPr>
        <w:jc w:val="both"/>
      </w:pPr>
      <w:r>
        <w:t xml:space="preserve">Voor de open vragen bekijken de correctoren of je antwoord de juiste vaktermen bevat, ondubbelzinnig is en de juiste inhoud bevat.</w:t>
      </w:r>
    </w:p>
    <w:p>
      <w:pPr>
        <w:jc w:val="both"/>
      </w:pPr>
      <w:r>
        <w:t xml:space="preserve"/>
      </w:r>
    </w:p>
    <w:p>
      <w:pPr>
        <w:jc w:val="both"/>
      </w:pPr>
      <w:r>
        <w:t xml:space="preserve">Voor de open vragen waar je je mening moet geven, wordt je antwoord beoordeeld aan de hand van rubrieken. Die vind je in de bijlage.</w:t>
      </w:r>
    </w:p>
    <w:p>
      <w:pPr>
        <w:jc w:val="both"/>
      </w:pPr>
      <w:r>
        <w:t xml:space="preserve"/>
      </w:r>
    </w:p>
    <w:p>
      <w:pPr>
        <w:jc w:val="both"/>
      </w:pPr>
      <w:r>
        <w:t xml:space="preserve">We houden geen rekening met taalfouten.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Communicatie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Denken over mens en samenleving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Organisatie en wisselwerking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Expressie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Code Gedragswetenschappen 3 en 4 (GO en VO)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Socius Gedragswetenschappen 3e en 4e jaar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