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farmaceutische technologie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KB van 5 februari 1997 betreffende de beroepstitel en de kwalificatievereisten voor de uitoefening van het beroep van farmaceutisch - technisch assistent en houdende vaststelling van de lijst van handelingen waarmee deze laatste door een apotheker kan worden belast.</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diploma Farmaceutisch Technisch Assistent is een gereglementeerd beroep. Dit betekent dat de minimale leerstof decretaal beschreven staat, net zoals het wettelijk verplichte aantal stage-uren. Het examenprogramma van de Examencommissie secundair onderwijs volgt deze regelgeving. Om het diploma van Farmaceutisch Technisch Assistent te behalen, moet je daarom zowel bij de Examencommissie secundair onderwijs (EC) als bij een centrum voor volwassenenonderwijs (CVO) een aantal vakken of modules afleggen. Je kan hierbij kiezen welke vakken je via zelfstudie aflegt bij de EC en voor welke modules je lessen volgt in een CVO. De stage kan je echter alleen via een CVO lopen.</w:t>
      </w:r>
    </w:p>
    <w:p>
      <w:r>
        <w:rPr/>
        <w:t xml:space="preserve"/>
      </w:r>
      <w:r>
        <w:rPr>
          <w:color w:val="00B050"/>
        </w:rPr>
        <w:t/>
      </w:r>
    </w:p>
    <w:p w14:paraId="70391787" w14:textId="3DB223A8" w:rsidR="00047953" w:rsidRDefault="001D02B3" w:rsidP="0082741A">
      <w:r>
        <w:rPr>
          <w:color w:val="00B050"/>
        </w:rPr>
        <w:t/>
      </w:r>
      <w:r>
        <w:t/>
      </w:r>
      <w:r>
        <w:rPr/>
        <w:t xml:space="preserve">In de tabel in bijlage kan je aflezen hoe de vakken van de EC zich verhouden ten opzichte van de modules uit het volwassenenonderwijs. Op die manier kan je een volledig programma samenstellen dat inspeelt op jouw noden of verwachtingen. Dankzij dit overzicht weet je ook precies waarvoor je vrijstellingen kan aanvragen bij de EC of een CVO.</w:t>
        <w:br/>
        <w:t xml:space="preserve"/>
        <w:br/>
        <w:t xml:space="preserve">Zowel de theoretische kennis als de praktische vaardigheden moeten voor dit vak gekend zijn.</w:t>
        <w:br/>
        <w:t xml:space="preserve"/>
        <w:br/>
        <w:t xml:space="preserve"/>
      </w:r>
      <w:r>
        <w:rPr>
          <w:u w:val="single"/>
        </w:rPr>
        <w:t xml:space="preserve">Wie meewerkende partner is of voldoende werkervaring kan voorleggen</w:t>
      </w:r>
      <w:r>
        <w:rPr/>
        <w:t xml:space="preserve">, kan een vrijstellingsproef vragen voor de praktische kennis van Farmaceutische technologie in een CVO en bij ons het theoretische examen Farmaceutische technologie afleggen.</w:t>
        <w:br/>
        <w:t xml:space="preserve">Tijdens deze vrijstellingsproef in een labo van een CVO wordt via een aantal opdrachten nagegaan of de kandidaat de bereidingen kan maken beschreven in het deel " praktische kennis".</w:t>
        <w:br/>
        <w:t xml:space="preserve"/>
        <w:br/>
        <w:t xml:space="preserve">of</w:t>
        <w:br/>
        <w:t xml:space="preserve"/>
        <w:br/>
        <w:t xml:space="preserve"/>
      </w:r>
      <w:r>
        <w:rPr>
          <w:u w:val="single"/>
        </w:rPr>
        <w:t xml:space="preserve">Wie geen meewerkende partner is of geen werkervaring heeft,</w:t>
      </w:r>
      <w:r>
        <w:rPr/>
        <w:t xml:space="preserve"> volgt lessen voor de volledige module Galenica  in een CVO.</w:t>
        <w:br/>
        <w:t xml:space="preserve"/>
        <w:br/>
        <w:t xml:space="preserve">Volgende afspraken werden gemaakt met het volwassenenonderwijs:</w:t>
        <w:br/>
        <w:t xml:space="preserve"/>
        <w:br/>
        <w:t xml:space="preserve">Enkel kandidaten die geslaagd zijn voor het examen van het vak Farmaceutische technologie kunnen deelnemen aan de vrijstellingsproef voor het vak 'Galenica'.</w:t>
        <w:br/>
        <w:t xml:space="preserve"/>
        <w:br/>
        <w:t xml:space="preserve">Elke kandidaat mag maar één keer deelnemen aan deze vrijstellingsproef. Het is bovendien onmogelijk om te slagen voor deze proef als je onvoldoende werkervaring hebt in een apotheek.</w:t>
        <w:br/>
        <w:t xml:space="preserve"/>
        <w:br/>
        <w:t xml:space="preserve">Je maakt zelf een afspraak met een  CVO om deze praktische vrijstellingsproef af te leggen.</w:t>
        <w:br/>
        <w:t xml:space="preserve"/>
        <w:br/>
        <w:t xml:space="preserve">Wie geslaagd is voor het vak Farmaceutische technologie én de vrijstellingsproef Galenica is geslaagd voor het vak Galenica.</w:t>
        <w:br/>
        <w:t xml:space="preserve"/>
        <w:br/>
        <w:t xml:space="preserve">Wie niet geslaagd is voor de vrijstellingsproef Galenica moet via het volwassenenonderwijs de volledige module Galenica volgen. De behaalde resultaten voor het examen Farmaceutische technologie vervallen.</w:t>
        <w:br/>
        <w:t xml:space="preserve"/>
        <w:br/>
        <w:t xml:space="preserve"> </w:t>
        <w:br/>
        <w:t xml:space="preserve"/>
        <w:br/>
        <w:t xml:space="preserve">Contactgegevens CVO:</w:t>
        <w:br/>
        <w:t xml:space="preserve">De modules worden in een CVO in bepaalde periodes van het schooljaar georganiseerd.</w:t>
        <w:br/>
        <w:t xml:space="preserve">Neem dus tijdig contact op met het CVO om je in te schrijven.</w:t>
        <w:br/>
        <w:t xml:space="preserve"/>
        <w:br/>
        <w:t xml:space="preserve">http://www.ond.vlaanderen.be/onderwijsaanbod/lijst.asp?studie=717&amp;hs=317</w:t>
        <w:br/>
        <w:t xml:space="preserve"/>
        <w:br/>
        <w:t xml:space="preserve"> </w:t>
        <w:br/>
        <w:t xml:space="preserve"/>
        <w:br/>
        <w:t xml:space="preserve">Centrum voor Volwassenenonderwijs COOVI, Emile Grysonlaan 1, 1070 Anderlecht</w:t>
        <w:br/>
        <w:t xml:space="preserve">http://www.coovi.be/cvo</w:t>
        <w:br/>
        <w:t xml:space="preserve"/>
        <w:br/>
        <w:t xml:space="preserve">Centrum voor Volwassenenonderwijs Technicum Noord-Antwerpen, Londenstraat 43, 2000 Antwerpen</w:t>
        <w:br/>
        <w:t xml:space="preserve">http://www.tna.be</w:t>
        <w:br/>
        <w:t xml:space="preserve"/>
        <w:br/>
        <w:t xml:space="preserve">Centrum voor Volwassenenonderwijs Hageland - Aarschot Schaluin 28, 3200 Aarschot</w:t>
        <w:br/>
        <w:t xml:space="preserve">http://cvohageland.sjca.be</w:t>
        <w:br/>
        <w:t xml:space="preserve"/>
        <w:br/>
        <w:t xml:space="preserve">GO! Centrum voor Volwassenenonderwijs 3 Hofsteden Kortrijk-Menen-Tielt Minister De Taeyelaan 13, 8500 Kortrijk</w:t>
        <w:br/>
        <w:t xml:space="preserve">http://www.cvo3hofsteden.org</w:t>
        <w:br/>
        <w:t xml:space="preserve"/>
        <w:br/>
        <w:t xml:space="preserve">Centrum voor Volwassenenonderwijs LBC -NVK Paalsesteenweg 33, 3580 Beringen</w:t>
        <w:br/>
        <w:t xml:space="preserve">http://www.lbconderwijs.be</w:t>
        <w:br/>
        <w:t xml:space="preserve"/>
        <w:br/>
        <w:t xml:space="preserve">Uitgebreide informatie lees je in de vakfiche Stage (FTA)</w:t>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THEORETISCHE KENNIS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PRAKTISCHE KENNIS OP EEN CVO</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THEORETISCHE KENNIS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kunnen?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algemene begrippen</w:t>
            </w:r>
          </w:p>
          <w:p>
            <w:pPr>
              <w:pStyle w:val="ListParagraph"/>
              <w:numPr>
                <w:ilvl w:val="0"/>
                <w:numId w:val="8"/>
              </w:numPr>
            </w:pPr>
            <w:r>
              <w:rPr/>
              <w:t xml:space="preserve">farmaceutische technologie</w:t>
            </w:r>
          </w:p>
          <w:p>
            <w:pPr>
              <w:pStyle w:val="ListParagraph"/>
              <w:numPr>
                <w:ilvl w:val="0"/>
                <w:numId w:val="8"/>
              </w:numPr>
            </w:pPr>
            <w:r>
              <w:rPr/>
              <w:t xml:space="preserve">actieve stof en hulpstof</w:t>
            </w:r>
          </w:p>
          <w:p>
            <w:pPr>
              <w:pStyle w:val="ListParagraph"/>
              <w:numPr>
                <w:ilvl w:val="0"/>
                <w:numId w:val="8"/>
              </w:numPr>
            </w:pPr>
            <w:r>
              <w:rPr/>
              <w:t xml:space="preserve">soorten bereidingen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9"/>
              </w:numPr>
            </w:pPr>
            <w:r>
              <w:rPr/>
              <w:t xml:space="preserve">de betekenis van de farmaceutische technologie verwoorden</w:t>
            </w:r>
          </w:p>
          <w:p>
            <w:pPr>
              <w:pStyle w:val="ListParagraph"/>
              <w:numPr>
                <w:ilvl w:val="0"/>
                <w:numId w:val="9"/>
              </w:numPr>
            </w:pPr>
            <w:r>
              <w:rPr/>
              <w:t xml:space="preserve">actieve stoffen en hulpstoffen onderscheiden en hun functie verduidelijken</w:t>
            </w:r>
          </w:p>
          <w:p>
            <w:pPr>
              <w:pStyle w:val="ListParagraph"/>
              <w:numPr>
                <w:ilvl w:val="0"/>
                <w:numId w:val="9"/>
              </w:numPr>
            </w:pPr>
            <w:r>
              <w:rPr/>
              <w:t xml:space="preserve">soorten bereidingen omschrijven en van elkaar onderscheiden</w:t>
              <w:br/>
              <w:t xml:space="preserve"/>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gebruik van naslagwerken en databanken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naslagwerken en databanken gebruiken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afkortingen en symbolen</w:t>
              <w:br/>
              <w:t xml:space="preserve"/>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gebruikelijke afkortingen en symbolen interpreteren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medisch voorschrift</w:t>
              <w:br/>
              <w:t xml:space="preserve"/>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een medisch voorschrift lezen en interpreteren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farmaceutisch rekenen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voor elk soort bereiding de noodzakelijke berekeningen correct uitvoeren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galenische bereidingsvormen</w:t>
            </w:r>
          </w:p>
          <w:p>
            <w:pPr>
              <w:pStyle w:val="ListParagraph"/>
              <w:numPr>
                <w:ilvl w:val="0"/>
                <w:numId w:val="10"/>
              </w:numPr>
            </w:pPr>
            <w:r>
              <w:rPr/>
              <w:t xml:space="preserve">poeders</w:t>
            </w:r>
          </w:p>
          <w:p>
            <w:pPr>
              <w:pStyle w:val="ListParagraph"/>
              <w:numPr>
                <w:ilvl w:val="0"/>
                <w:numId w:val="10"/>
              </w:numPr>
            </w:pPr>
            <w:r>
              <w:rPr/>
              <w:t xml:space="preserve">gelulen</w:t>
            </w:r>
          </w:p>
          <w:p>
            <w:pPr>
              <w:pStyle w:val="ListParagraph"/>
              <w:numPr>
                <w:ilvl w:val="0"/>
                <w:numId w:val="10"/>
              </w:numPr>
            </w:pPr>
            <w:r>
              <w:rPr/>
              <w:t xml:space="preserve">suppo’s en ovulen</w:t>
            </w:r>
          </w:p>
          <w:p>
            <w:pPr>
              <w:pStyle w:val="ListParagraph"/>
              <w:numPr>
                <w:ilvl w:val="0"/>
                <w:numId w:val="10"/>
              </w:numPr>
            </w:pPr>
            <w:r>
              <w:rPr/>
              <w:t xml:space="preserve">oplossingen en siropen</w:t>
            </w:r>
          </w:p>
          <w:p>
            <w:pPr>
              <w:pStyle w:val="ListParagraph"/>
              <w:numPr>
                <w:ilvl w:val="0"/>
                <w:numId w:val="10"/>
              </w:numPr>
            </w:pPr>
            <w:r>
              <w:rPr/>
              <w:t xml:space="preserve">suspensies</w:t>
            </w:r>
          </w:p>
          <w:p>
            <w:pPr>
              <w:pStyle w:val="ListParagraph"/>
              <w:numPr>
                <w:ilvl w:val="0"/>
                <w:numId w:val="10"/>
              </w:numPr>
            </w:pPr>
            <w:r>
              <w:rPr/>
              <w:t xml:space="preserve">emulsies</w:t>
            </w:r>
          </w:p>
          <w:p>
            <w:pPr>
              <w:pStyle w:val="ListParagraph"/>
              <w:numPr>
                <w:ilvl w:val="0"/>
                <w:numId w:val="10"/>
              </w:numPr>
            </w:pPr>
            <w:r>
              <w:rPr/>
              <w:t xml:space="preserve">zalfbasissen en zalven</w:t>
            </w:r>
          </w:p>
          <w:p>
            <w:pPr>
              <w:pStyle w:val="ListParagraph"/>
              <w:numPr>
                <w:ilvl w:val="0"/>
                <w:numId w:val="10"/>
              </w:numPr>
            </w:pPr>
            <w:r>
              <w:rPr/>
              <w:t xml:space="preserve">crèmes</w:t>
            </w:r>
          </w:p>
          <w:p>
            <w:pPr>
              <w:pStyle w:val="ListParagraph"/>
              <w:numPr>
                <w:ilvl w:val="0"/>
                <w:numId w:val="10"/>
              </w:numPr>
            </w:pPr>
            <w:r>
              <w:rPr/>
              <w:t xml:space="preserve">gelen</w:t>
            </w:r>
          </w:p>
          <w:p>
            <w:pPr>
              <w:pStyle w:val="ListParagraph"/>
              <w:numPr>
                <w:ilvl w:val="0"/>
                <w:numId w:val="10"/>
              </w:numPr>
            </w:pPr>
            <w:r>
              <w:rPr/>
              <w:t xml:space="preserve">pasta’s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p>
          <w:p>
            <w:pPr>
              <w:pStyle w:val="ListParagraph"/>
              <w:numPr>
                <w:ilvl w:val="0"/>
                <w:numId w:val="11"/>
              </w:numPr>
            </w:pPr>
            <w:r>
              <w:rPr/>
              <w:t xml:space="preserve">verschillende geneesmiddelenvormen omschrijven</w:t>
            </w:r>
          </w:p>
          <w:p>
            <w:pPr>
              <w:pStyle w:val="ListParagraph"/>
              <w:numPr>
                <w:ilvl w:val="0"/>
                <w:numId w:val="11"/>
              </w:numPr>
            </w:pPr>
            <w:r>
              <w:rPr/>
              <w:t xml:space="preserve">voor elke geneesmiddelenvorm de hulpstoffen / grondstoffen onderscheiden en hun functie in de bereiding verduidelijken</w:t>
            </w:r>
          </w:p>
          <w:p>
            <w:pPr>
              <w:pStyle w:val="ListParagraph"/>
              <w:numPr>
                <w:ilvl w:val="0"/>
                <w:numId w:val="11"/>
              </w:numPr>
            </w:pPr>
            <w:r>
              <w:rPr/>
              <w:t xml:space="preserve">een aantal geneesmiddelenvormen correct bereiden en er een protocol van uitschrijven</w:t>
            </w:r>
          </w:p>
          <w:p>
            <w:pPr>
              <w:pStyle w:val="ListParagraph"/>
              <w:numPr>
                <w:ilvl w:val="0"/>
                <w:numId w:val="11"/>
              </w:numPr>
            </w:pPr>
            <w:r>
              <w:rPr/>
              <w:t xml:space="preserve">voor elke bereiding de afleveringsmodaliteiten, de bewaringsmodaliteiten en de wettelijke eisen toepassen</w:t>
              <w:br/>
              <w:t xml:space="preserve"/>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industriële bereidingsvormen</w:t>
            </w:r>
          </w:p>
          <w:p>
            <w:pPr>
              <w:pStyle w:val="ListParagraph"/>
              <w:numPr>
                <w:ilvl w:val="0"/>
                <w:numId w:val="12"/>
              </w:numPr>
            </w:pPr>
            <w:r>
              <w:rPr/>
              <w:t xml:space="preserve">aërosolen</w:t>
            </w:r>
          </w:p>
          <w:p>
            <w:pPr>
              <w:pStyle w:val="ListParagraph"/>
              <w:numPr>
                <w:ilvl w:val="0"/>
                <w:numId w:val="12"/>
              </w:numPr>
            </w:pPr>
            <w:r>
              <w:rPr/>
              <w:t xml:space="preserve">transdermale systemen</w:t>
            </w:r>
          </w:p>
          <w:p>
            <w:pPr>
              <w:pStyle w:val="ListParagraph"/>
              <w:numPr>
                <w:ilvl w:val="0"/>
                <w:numId w:val="12"/>
              </w:numPr>
            </w:pPr>
            <w:r>
              <w:rPr/>
              <w:t xml:space="preserve">diabetesmateriaal</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deze industriële bereidingsvormen omschrijven en het gebruik ervan toelichten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PRAKTISCHE KENNIS OP EEN CVO</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poeders</w:t>
            </w:r>
          </w:p>
          <w:p>
            <w:pPr>
              <w:pStyle w:val="ListParagraph"/>
              <w:numPr>
                <w:ilvl w:val="0"/>
                <w:numId w:val="13"/>
              </w:numPr>
            </w:pPr>
            <w:r>
              <w:rPr/>
              <w:t xml:space="preserve">bereiden van onverdeelde samengestelde poeders</w:t>
            </w:r>
          </w:p>
          <w:p>
            <w:pPr>
              <w:pStyle w:val="ListParagraph"/>
              <w:numPr>
                <w:ilvl w:val="0"/>
                <w:numId w:val="13"/>
              </w:numPr>
            </w:pPr>
            <w:r>
              <w:rPr/>
              <w:t xml:space="preserve">bereiden van verdeelde samengestelde poeders</w:t>
            </w:r>
          </w:p>
          <w:p>
            <w:pPr>
              <w:pStyle w:val="ListParagraph"/>
              <w:numPr>
                <w:ilvl w:val="0"/>
                <w:numId w:val="13"/>
              </w:numPr>
            </w:pPr>
            <w:r>
              <w:rPr/>
              <w:t xml:space="preserve">bereiden van gelulen</w:t>
            </w:r>
          </w:p>
          <w:p>
            <w:pPr>
              <w:pStyle w:val="ListParagraph"/>
              <w:numPr>
                <w:ilvl w:val="0"/>
                <w:numId w:val="13"/>
              </w:numPr>
            </w:pPr>
            <w:r>
              <w:rPr/>
              <w:t xml:space="preserve">trituraties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Deze bereidingen tijdens een vrijstellingsproef correct uitvoeren in het labo van een CVO waar het nodige materiaal aanwezig is. Je maakt zelf een afspraak met een CVO voor de vrijstellingsproef.</w:t>
              <w:br/>
              <w:t xml:space="preserve"/>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vloeibare bereidingen voor inwendig gebruik</w:t>
            </w:r>
          </w:p>
          <w:p>
            <w:pPr>
              <w:pStyle w:val="ListParagraph"/>
              <w:numPr>
                <w:ilvl w:val="0"/>
                <w:numId w:val="14"/>
              </w:numPr>
            </w:pPr>
            <w:r>
              <w:rPr/>
              <w:t xml:space="preserve">bereiden van oplossingen</w:t>
            </w:r>
          </w:p>
          <w:p>
            <w:pPr>
              <w:pStyle w:val="ListParagraph"/>
              <w:numPr>
                <w:ilvl w:val="0"/>
                <w:numId w:val="14"/>
              </w:numPr>
            </w:pPr>
            <w:r>
              <w:rPr/>
              <w:t xml:space="preserve">bereiden van siropen en potio’s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Deze bereidingen tijdens een vrijstellingsproef correct uitvoeren in het labo van een CVO waar het nodige materiaal aanwezig is. Je maakt zelf een afspraak met een CVO voor de vrijstellingsproef.</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disperse systemen</w:t>
            </w:r>
          </w:p>
          <w:p>
            <w:pPr>
              <w:pStyle w:val="ListParagraph"/>
              <w:numPr>
                <w:ilvl w:val="0"/>
                <w:numId w:val="15"/>
              </w:numPr>
            </w:pPr>
            <w:r>
              <w:rPr/>
              <w:t xml:space="preserve">bereiden van suspensies</w:t>
            </w:r>
          </w:p>
          <w:p>
            <w:pPr>
              <w:pStyle w:val="ListParagraph"/>
              <w:numPr>
                <w:ilvl w:val="0"/>
                <w:numId w:val="15"/>
              </w:numPr>
            </w:pPr>
            <w:r>
              <w:rPr/>
              <w:t xml:space="preserve">bereiden van lotions</w:t>
            </w:r>
          </w:p>
          <w:p>
            <w:pPr>
              <w:pStyle w:val="ListParagraph"/>
              <w:numPr>
                <w:ilvl w:val="0"/>
                <w:numId w:val="15"/>
              </w:numPr>
            </w:pPr>
            <w:r>
              <w:rPr/>
              <w:t xml:space="preserve">bereiden van emulsies</w:t>
            </w:r>
          </w:p>
          <w:p>
            <w:pPr>
              <w:pStyle w:val="ListParagraph"/>
              <w:numPr>
                <w:ilvl w:val="0"/>
                <w:numId w:val="15"/>
              </w:numPr>
            </w:pPr>
            <w:r>
              <w:rPr/>
              <w:t xml:space="preserve">bereiden van zetpillen</w:t>
            </w:r>
          </w:p>
          <w:p>
            <w:pPr>
              <w:pStyle w:val="ListParagraph"/>
              <w:numPr>
                <w:ilvl w:val="0"/>
                <w:numId w:val="15"/>
              </w:numPr>
            </w:pPr>
            <w:r>
              <w:rPr/>
              <w:t xml:space="preserve">bereiden van zalven en crèmes</w:t>
            </w:r>
          </w:p>
          <w:p>
            <w:pPr>
              <w:pStyle w:val="ListParagraph"/>
              <w:numPr>
                <w:ilvl w:val="0"/>
                <w:numId w:val="15"/>
              </w:numPr>
            </w:pPr>
            <w:r>
              <w:rPr/>
              <w:t xml:space="preserve">bereiden van gelen en pasta’s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Deze bereidingen tijdens een vrijstellingsproef correct uitvoeren in het labo van een CVO waar het nodige materiaal aanwezig is. Je maakt zelf een afspraak met een CVO voor de vrijstellingsproef.</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verhouding vakken EC_CVO.pdf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farmaceutische technologie is een digitaal examen. Vraag je je af hoe een digitaal examen verloopt? De uitleg over onze digitale examens, de instructies en heel wat voorbeeldvragen vind je op https://examencommissiesecundaironderwijs.be/examens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p>
    <w:p>
      <w:pPr>
        <w:jc w:val="both"/>
      </w:pPr>
      <w:r>
        <w:t xml:space="preserve"/>
      </w:r>
    </w:p>
    <w:p>
      <w:pPr>
        <w:jc w:val="both"/>
      </w:pPr>
      <w:r>
        <w:t xml:space="preserve">Je maakt op het examen gebruik van een digitale rekenmachine.</w:t>
      </w:r>
    </w:p>
    <w:p>
      <w:pPr>
        <w:jc w:val="both"/>
      </w:pPr>
      <w:r>
        <w:t xml:space="preserve">Een digitale rekenmachine kan je aanklikken met het icoontje, dat je terugvindt onderaan links op je scherm. Je kan met deze toets je berekeningen maken gedurende de tijd van je examen.</w:t>
      </w:r>
    </w:p>
    <w:p>
      <w:pPr>
        <w:jc w:val="both"/>
      </w:pPr>
      <w:r>
        <w:t xml:space="preserve"/>
      </w:r>
    </w:p>
    <w:p>
      <w:pPr>
        <w:jc w:val="both"/>
      </w:pPr>
      <w:r>
        <w:t xml:space="preserve">Je hoeft dus zelf geen rekenmachine meer mee te brengen. Een gsm, tablet of smartphone zijn niet toegelaten om te rekenen.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theorie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moet je het juiste antwoord aanduiden, invullen of slepen om punten te scoren, naargelang het vraagtype kan je voor een gedeeltelijk juist antwoord soms ook punten scoren en is er bij meerkeuzevragen geen giscorrectie.</w:t>
      </w:r>
    </w:p>
    <w:p>
      <w:pPr>
        <w:jc w:val="both"/>
      </w:pPr>
      <w:r>
        <w:t xml:space="preserve"/>
      </w:r>
    </w:p>
    <w:p>
      <w:pPr>
        <w:jc w:val="both"/>
      </w:pPr>
      <w:r>
        <w:t xml:space="preserve">Volgende afspraken werden gemaakt met het volwassenenonderwijs over het vak Galenica:</w:t>
      </w:r>
    </w:p>
    <w:p>
      <w:pPr>
        <w:jc w:val="both"/>
      </w:pPr>
      <w:r>
        <w:t xml:space="preserve"/>
      </w:r>
    </w:p>
    <w:p>
      <w:pPr>
        <w:jc w:val="both"/>
      </w:pPr>
      <w:r>
        <w:t xml:space="preserve">Enkel kandidaten die geslaagd zijn voor het examen theorie van het vak Farmaceutische technologie kunnen deelnemen aan de vrijstellingsproef voor het vak &amp;apos;Galenica’.</w:t>
      </w:r>
    </w:p>
    <w:p>
      <w:pPr>
        <w:jc w:val="both"/>
      </w:pPr>
      <w:r>
        <w:t xml:space="preserve">Elke kandidaat mag maar één keer deelnemen aan deze vrijstellingsproef. Het is bovendien onmogelijk om te slagen voor deze proef als je onvoldoende werkervaring hebt in een apotheek. </w:t>
      </w:r>
    </w:p>
    <w:p>
      <w:pPr>
        <w:jc w:val="both"/>
      </w:pPr>
      <w:r>
        <w:t xml:space="preserve">Je maakt zelf een afspraak met een CVO om deze praktische vrijstellingsproef af te leggen.</w:t>
      </w:r>
    </w:p>
    <w:p>
      <w:pPr>
        <w:jc w:val="both"/>
      </w:pPr>
      <w:r>
        <w:t xml:space="preserve">Wie geslaagd is voor het vak Farmaceutische technologie én de vrijstellingsproef Galenica is geslaagd voor het vak Galenica.</w:t>
      </w:r>
    </w:p>
    <w:p>
      <w:pPr>
        <w:jc w:val="both"/>
      </w:pPr>
      <w:r>
        <w:t xml:space="preserve">Wie niet geslaagd is voor de vrijstellingsproef Galenica moet via het volwassenenonderwijs de volledige module Galenica volgen. De behaalde resultaten voor het examen Farmaceutische technologie vervallen.</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Actieve en hulpstoffen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Afkortingen en symbolen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Bereidingen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Farmaceutisch rekenen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Galenische bereidingsvormen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80%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Industriële bereidingsvormen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Medische voorschriften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De bibliotheken van de lerarenopleiding aan de universiteit of de hogeschool bieden heel wat leermiddelen aan in hun collectie.</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Door een selectie te maken, willen we je helpen om je studie efficiënter aan te pakken. Je kan echter ook andere werken of cursussen gebruiken bij je voorbereiding op het examen.</w:t>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 De hier opgenomen lijst houdt geen enkele aanbeveling of kwaliteitsgoedkeuring in.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Farmaceutisch Rekenen- Basiswerk AG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9789036820189</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Bereiden en aseptisch handelen-Verdieping voor apothekersassistenten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Bohn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9789036826488</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Rekenen in de zorg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Bohn Stafleu Van Loghum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9789036805797</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http://www.tmf-ftm.be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https://vza.be/sites/default/files/20140512_Knipmedicatie.pdf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https://www.diabetes.be/nl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https://assets.uzleuven.be/files/2019-12/700239_v072011_17_diagnose_mucoviscidose_aerosol.pdf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https://www.azvesalius.be/COPD/Documenten/apotheekrichtlijnenastma.pdf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