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TV huishoudkunde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OVSG STW O/2/2011/207</w:t>
        <w:br/>
        <w:t>VVKSO- BRUSSEL D/2017/13.758/018</w:t>
        <w:br/>
        <w:t>GO 2016/019</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Binnen de studierichting STW staat de relatie mens, voeding, milieu en je eigen positie hierin, centraal. De sociale, technische en wetenschappelijke component ondersteunt de visie op de mens als sociaal-cultureel en sociaal-economisch wezen. De nadruk ligt op de ontwikkeling van je sociale verantwoordelijkheidszin. Verwacht wordt dat je op zelfstandige wijze keuzes kan maken en verantwoorden.</w:t>
        <w:br/>
        <w:t xml:space="preserve"/>
        <w:br/>
        <w:t xml:space="preserve"/>
        <w:br/>
        <w:t xml:space="preserve">In het onderdeel PV huishoudkunde evalueren we je kennis en vaardigheden om doelgericht en planmatig een maaltijd te bereiden.</w:t>
        <w:br/>
        <w:t xml:space="preserve"/>
        <w:br/>
        <w:t xml:space="preserve"/>
        <w:br/>
        <w:t xml:space="preserve">In het onderdeel TV huishoudkunde ligt de nadruk op het voedingsvoorlichtingsmodel, de gezondheid en de voeding.</w:t>
        <w:br/>
        <w:t xml:space="preserve"/>
        <w:br/>
        <w:t xml:space="preserve"/>
        <w:br/>
        <w:t xml:space="preserve">Je dient rekening te houden met welbepaalde doelgroepen en criteria bij de planning en (voor)bereiding van een gezonde maaltijd of gerecht.</w:t>
        <w:br/>
        <w:t xml:space="preserve"/>
        <w:br/>
        <w:t xml:space="preserve">  </w:t>
        <w:br/>
        <w:t xml:space="preserve"> </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Voedingsvoorlichting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consument en zijn voedingspatroon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Voeding en hygiëne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Voeding en veiligheid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Voeding en verschillende leeftijdsgroepen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Voeding en gezondheidsproblemen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Marketing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Organiseren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Voedingsvoorlichting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Voeding algemeen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fysiologische functies van voeding:</w:t>
            </w:r>
          </w:p>
          <w:p>
            <w:pPr>
              <w:pStyle w:val="ListParagraph"/>
              <w:numPr>
                <w:ilvl w:val="0"/>
                <w:numId w:val="8"/>
              </w:numPr>
            </w:pPr>
            <w:r>
              <w:rPr/>
              <w:t xml:space="preserve">leveren bouwstoffen</w:t>
            </w:r>
          </w:p>
          <w:p>
            <w:pPr>
              <w:pStyle w:val="ListParagraph"/>
              <w:numPr>
                <w:ilvl w:val="0"/>
                <w:numId w:val="8"/>
              </w:numPr>
            </w:pPr>
            <w:r>
              <w:rPr/>
              <w:t xml:space="preserve">leveren brandstoffen/energieleverende stoffen</w:t>
            </w:r>
          </w:p>
          <w:p>
            <w:pPr>
              <w:pStyle w:val="ListParagraph"/>
              <w:numPr>
                <w:ilvl w:val="0"/>
                <w:numId w:val="8"/>
              </w:numPr>
            </w:pPr>
            <w:r>
              <w:rPr/>
              <w:t xml:space="preserve">leveren regulerende 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fysiologische functies van voedingsstoffen (water, koolhydraten, vezels, vetten, eiwitten, vitaminen en mineralen) herkennen en illustreren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psychosociale functie van voeding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keuzes voor het niet gebruiken van bepaalde voedingsmiddelen vanuit een levensbeschouwing (culturele waarden)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keuzes vanuit ethische waarden (respect voor levensbeschouwing, de noden, behoeften, … van een doelgroep) verantwoorden</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Voedingsbehoeften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voedingsmiddelen en voedingsstoffen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voedingsmiddelen en voedingsstoffen herkennen, benoemen en beschrijven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tussen voedingsstoffen en voedingsmiddelen beschrijven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essentiële en niet-essentiële voedingsstoffen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essentiële  en niet-essentiële voedingsstoffen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tussen essentiële en niet-essentiële voedingsstoffen beschrijven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aanbevolen hoeveelheden per voedingsstof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beïnvloedende factoren die de aanbevolen hoeveelheden bepalen herkennen en benoemen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 een aantal groepen (alsook de eigen leeftijdsgroep in het bijzonder) de aanbevolen hoeveelheden opzoeken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aanbevolen hoeveelheid voedingsstoffen in een concrete, gezonde dagelijkse maaltijd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gevolgen bij tekorten en teveel aan voedingsstoffen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gevolgen bij tekorten en teveel aan voedingsstoffen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Body Mass Index (BMI) of (Quetelet-Index)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Body Mass Index (BMI) of Quetelex-index berekenen met lichaamsmassa en lengte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beoordelen van de lichaamsmassa met behulp van de percentielcurve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doelgroep voor wie het BMI niet geldt, herkennen en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Vertering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vertering/opname van de verschillende voedingsstoffen:</w:t>
              <w:br/>
              <w:t xml:space="preserve"/>
              <w:br/>
              <w:t xml:space="preserve"/>
            </w:r>
          </w:p>
          <w:p>
            <w:pPr>
              <w:pStyle w:val="ListParagraph"/>
              <w:numPr>
                <w:ilvl w:val="0"/>
                <w:numId w:val="9"/>
              </w:numPr>
            </w:pPr>
            <w:r>
              <w:rPr/>
              <w:t xml:space="preserve">water</w:t>
            </w:r>
          </w:p>
          <w:p>
            <w:pPr>
              <w:pStyle w:val="ListParagraph"/>
              <w:numPr>
                <w:ilvl w:val="0"/>
                <w:numId w:val="9"/>
              </w:numPr>
            </w:pPr>
            <w:r>
              <w:rPr/>
              <w:t xml:space="preserve">koolhydraten</w:t>
            </w:r>
          </w:p>
          <w:p>
            <w:pPr>
              <w:pStyle w:val="ListParagraph"/>
              <w:numPr>
                <w:ilvl w:val="0"/>
                <w:numId w:val="9"/>
              </w:numPr>
            </w:pPr>
            <w:r>
              <w:rPr/>
              <w:t xml:space="preserve">vezels</w:t>
            </w:r>
          </w:p>
          <w:p>
            <w:pPr>
              <w:pStyle w:val="ListParagraph"/>
              <w:numPr>
                <w:ilvl w:val="0"/>
                <w:numId w:val="9"/>
              </w:numPr>
            </w:pPr>
            <w:r>
              <w:rPr/>
              <w:t xml:space="preserve">vetten</w:t>
            </w:r>
          </w:p>
          <w:p>
            <w:pPr>
              <w:pStyle w:val="ListParagraph"/>
              <w:numPr>
                <w:ilvl w:val="0"/>
                <w:numId w:val="9"/>
              </w:numPr>
            </w:pPr>
            <w:r>
              <w:rPr/>
              <w:t xml:space="preserve">eiwitten</w:t>
            </w:r>
          </w:p>
          <w:p>
            <w:pPr>
              <w:pStyle w:val="ListParagraph"/>
              <w:numPr>
                <w:ilvl w:val="0"/>
                <w:numId w:val="9"/>
              </w:numPr>
            </w:pPr>
            <w:r>
              <w:rPr/>
              <w:t xml:space="preserve">vitaminen</w:t>
            </w:r>
          </w:p>
          <w:p>
            <w:pPr>
              <w:pStyle w:val="ListParagraph"/>
              <w:numPr>
                <w:ilvl w:val="0"/>
                <w:numId w:val="9"/>
              </w:numPr>
            </w:pPr>
            <w:r>
              <w:rPr/>
              <w:t xml:space="preserve">mineralen</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vertering/opname van deze voedingsstoffen beschrijven en linken aan de toegepaste chemie</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chemische structuur van elke groep voedingsstoffen (water, koolhydraten, vezels, vetten, eiwitten, vitaminen en mineralen) weergeven</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Praktische hulpmiddelen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voedingsvoorlichtingsmodellen:</w:t>
              <w:br/>
              <w:t xml:space="preserve"/>
              <w:br/>
              <w:t xml:space="preserve"/>
            </w:r>
          </w:p>
          <w:p>
            <w:pPr>
              <w:pStyle w:val="ListParagraph"/>
              <w:numPr>
                <w:ilvl w:val="0"/>
                <w:numId w:val="10"/>
              </w:numPr>
            </w:pPr>
            <w:r>
              <w:rPr/>
              <w:t xml:space="preserve"> de 'nieuwe’ voedingsdriehoek</w:t>
            </w:r>
          </w:p>
          <w:p>
            <w:pPr>
              <w:pStyle w:val="ListParagraph"/>
              <w:numPr>
                <w:ilvl w:val="0"/>
                <w:numId w:val="10"/>
              </w:numPr>
            </w:pPr>
            <w:r>
              <w:rPr/>
              <w:t xml:space="preserve"> de voedselzandloper</w:t>
            </w:r>
          </w:p>
          <w:p>
            <w:pPr>
              <w:pStyle w:val="ListParagraph"/>
              <w:numPr>
                <w:ilvl w:val="0"/>
                <w:numId w:val="10"/>
              </w:numPr>
            </w:pPr>
            <w:r>
              <w:rPr/>
              <w:t xml:space="preserve"> de bewegingsdriehoek</w:t>
            </w:r>
          </w:p>
          <w:p>
            <w:pPr>
              <w:pStyle w:val="ListParagraph"/>
              <w:numPr>
                <w:ilvl w:val="0"/>
                <w:numId w:val="10"/>
              </w:numPr>
            </w:pPr>
            <w:r>
              <w:rPr/>
              <w:t xml:space="preserve"> de schijf van vijf</w:t>
            </w:r>
          </w:p>
          <w:p>
            <w:pPr>
              <w:pStyle w:val="ListParagraph"/>
              <w:numPr>
                <w:ilvl w:val="0"/>
                <w:numId w:val="10"/>
              </w:numPr>
            </w:pPr>
            <w:r>
              <w:rPr/>
              <w:t xml:space="preserve"> van Wallonië, het Verenigd Koninkrijk, Nederland, Frankrijk en de VS</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verschillende voedingsvoorlichtingsmodellen herkennen, beschrijven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 en nadelen van verschillende voedingsvoorlichtingsmodellen afwegen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gerecht situeren binnen de verschillende voedingsvoorlichtingsmodellen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voedingsvoorlichtingsmodel toepassen om een gerecht/maaltijd samen te stellen en te bereiden, rekening houdend met de doelgroep en de context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voedingsvoorlichtingsmodel toepassen om een dagvoeding samen te stellen en te bereiden rekening houdend met de doelgroep en context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voedingsmiddelentabel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voedingsmiddelentabel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recepten weergeven, aanpassingen uitvoeren en bereiden volgens de energiebehoefte van personen binnen een bepaalde leeftijdscategorie (3-6 jaar, 6-12 jaar, 12-18 jaar, 18-59 jaar, 60+)</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recepten weergeven, aanpassingen uitvoeren en bereiden volgens de energiebehoeften van een bepaalde doelgroep omwille van fysieke inspanningen (sporters,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consument en zijn voedingspatroon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Factoren die het voedingspatroon beïnvloeden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invloed hebben op het voedingspatroon:</w:t>
              <w:br/>
              <w:t xml:space="preserve"/>
              <w:br/>
              <w:t xml:space="preserve"/>
            </w:r>
          </w:p>
          <w:p>
            <w:pPr>
              <w:pStyle w:val="ListParagraph"/>
              <w:numPr>
                <w:ilvl w:val="0"/>
                <w:numId w:val="11"/>
              </w:numPr>
            </w:pPr>
            <w:r>
              <w:rPr/>
              <w:t xml:space="preserve">culturele</w:t>
            </w:r>
          </w:p>
          <w:p>
            <w:pPr>
              <w:pStyle w:val="ListParagraph"/>
              <w:numPr>
                <w:ilvl w:val="0"/>
                <w:numId w:val="11"/>
              </w:numPr>
            </w:pPr>
            <w:r>
              <w:rPr/>
              <w:t xml:space="preserve">economische</w:t>
            </w:r>
          </w:p>
          <w:p>
            <w:pPr>
              <w:pStyle w:val="ListParagraph"/>
              <w:numPr>
                <w:ilvl w:val="0"/>
                <w:numId w:val="11"/>
              </w:numPr>
            </w:pPr>
            <w:r>
              <w:rPr/>
              <w:t xml:space="preserve">fysieke</w:t>
            </w:r>
          </w:p>
          <w:p>
            <w:pPr>
              <w:pStyle w:val="ListParagraph"/>
              <w:numPr>
                <w:ilvl w:val="0"/>
                <w:numId w:val="11"/>
              </w:numPr>
            </w:pPr>
            <w:r>
              <w:rPr/>
              <w:t xml:space="preserve">politieke</w:t>
            </w:r>
          </w:p>
          <w:p>
            <w:pPr>
              <w:pStyle w:val="ListParagraph"/>
              <w:numPr>
                <w:ilvl w:val="0"/>
                <w:numId w:val="11"/>
              </w:numPr>
            </w:pPr>
            <w:r>
              <w:rPr/>
              <w:t xml:space="preserve">psychologische</w:t>
            </w:r>
          </w:p>
          <w:p>
            <w:pPr>
              <w:pStyle w:val="ListParagraph"/>
              <w:numPr>
                <w:ilvl w:val="0"/>
                <w:numId w:val="11"/>
              </w:numPr>
            </w:pPr>
            <w:r>
              <w:rPr/>
              <w:t xml:space="preserve">sociale</w:t>
            </w:r>
          </w:p>
          <w:p>
            <w:pPr>
              <w:pStyle w:val="ListParagraph"/>
              <w:numPr>
                <w:ilvl w:val="0"/>
                <w:numId w:val="11"/>
              </w:numPr>
            </w:pPr>
            <w:r>
              <w:rPr/>
              <w:t xml:space="preserve">technische</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factoren per doelgroep herkennen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Voedingspatronen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voedingsgewoonten uit verschillende culturen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voedingsgewoonten uit verschillende culturen aan de hand van de principes van een voedingsvoorlichtingsmodel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 en nadelen van de voedingsgewoonten uit de verschillende culturen benoemen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keuzes verantwoorden van de voedingsgewoonten uit verschillende culturen vanuit ethische waarden (respect levensbeschouwing, noden, behoeften, … van een doelgroep)</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 en ondervoeding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oorzaken en gevolgen van over- en ondervoeding in België en de wereld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Voeding en hygiëne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HACCP</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12"/>
              </w:numPr>
            </w:pPr>
            <w:r>
              <w:rPr/>
              <w:t xml:space="preserve">begrip HACCP</w:t>
            </w:r>
          </w:p>
          <w:p>
            <w:pPr>
              <w:pStyle w:val="ListParagraph"/>
              <w:numPr>
                <w:ilvl w:val="0"/>
                <w:numId w:val="12"/>
              </w:numPr>
            </w:pPr>
            <w:r>
              <w:rPr/>
              <w:t xml:space="preserve">7 basisprincipes HACCP</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HACCP beschrijven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7 basisprincipes van HACCP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tijdens praktijkopdrachten de principes van hygiëne toelichten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hygiënevoorschriften die van kracht zijn in een professionele context beschrijven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hygiënevoorschriften op vlak van:</w:t>
            </w:r>
          </w:p>
          <w:p>
            <w:pPr>
              <w:pStyle w:val="ListParagraph"/>
              <w:numPr>
                <w:ilvl w:val="0"/>
                <w:numId w:val="13"/>
              </w:numPr>
            </w:pPr>
            <w:r>
              <w:rPr/>
              <w:t xml:space="preserve">infrastructuur (bijvoorbeeld geen houten kasten in de keuken, afwasbare materialen voor lampen, koud en warme zone gescheiden,…)</w:t>
            </w:r>
          </w:p>
          <w:p>
            <w:pPr>
              <w:pStyle w:val="ListParagraph"/>
              <w:numPr>
                <w:ilvl w:val="0"/>
                <w:numId w:val="13"/>
              </w:numPr>
            </w:pPr>
            <w:r>
              <w:rPr/>
              <w:t xml:space="preserve">uitrusting</w:t>
            </w:r>
          </w:p>
          <w:p>
            <w:pPr>
              <w:pStyle w:val="ListParagraph"/>
              <w:numPr>
                <w:ilvl w:val="0"/>
                <w:numId w:val="13"/>
              </w:numPr>
            </w:pPr>
            <w:r>
              <w:rPr/>
              <w:t xml:space="preserve">personeel</w:t>
            </w:r>
          </w:p>
          <w:p>
            <w:pPr>
              <w:pStyle w:val="ListParagraph"/>
              <w:numPr>
                <w:ilvl w:val="0"/>
                <w:numId w:val="13"/>
              </w:numPr>
            </w:pPr>
            <w:r>
              <w:rPr/>
              <w:t xml:space="preserve">vervoer</w:t>
            </w:r>
          </w:p>
          <w:p>
            <w:pPr>
              <w:pStyle w:val="ListParagraph"/>
              <w:numPr>
                <w:ilvl w:val="0"/>
                <w:numId w:val="13"/>
              </w:numPr>
            </w:pPr>
            <w:r>
              <w:rPr/>
              <w:t xml:space="preserve">afval</w:t>
            </w:r>
          </w:p>
          <w:p>
            <w:pPr>
              <w:pStyle w:val="ListParagraph"/>
              <w:numPr>
                <w:ilvl w:val="0"/>
                <w:numId w:val="13"/>
              </w:numPr>
            </w:pPr>
            <w:r>
              <w:rPr/>
              <w:t xml:space="preserve">water</w:t>
            </w:r>
          </w:p>
          <w:p>
            <w:pPr>
              <w:pStyle w:val="ListParagraph"/>
              <w:numPr>
                <w:ilvl w:val="0"/>
                <w:numId w:val="13"/>
              </w:numPr>
            </w:pPr>
            <w:r>
              <w:rPr/>
              <w:t xml:space="preserve">grondstoffen</w:t>
            </w:r>
          </w:p>
          <w:p>
            <w:pPr>
              <w:pStyle w:val="ListParagraph"/>
              <w:numPr>
                <w:ilvl w:val="0"/>
                <w:numId w:val="13"/>
              </w:numPr>
            </w:pPr>
            <w:r>
              <w:rPr/>
              <w:t xml:space="preserve">reinigingsproducten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hygiënevoorschriften herkennen,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onderdelen van de Sinnercirkel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werking/functie van de verschillende onderdelen van de Sinnercirkel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milieubewuste maatregelen en afspraken rond afvalbeleid in diverse contexten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sorteren van afval volgens instructies toelichten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Voedselveiligheid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gevaren</w:t>
            </w:r>
          </w:p>
          <w:p>
            <w:pPr>
              <w:pStyle w:val="ListParagraph"/>
              <w:numPr>
                <w:ilvl w:val="0"/>
                <w:numId w:val="14"/>
              </w:numPr>
            </w:pPr>
            <w:r>
              <w:rPr/>
              <w:t xml:space="preserve">fysische (vreemde bestanddelen)</w:t>
            </w:r>
          </w:p>
          <w:p>
            <w:pPr>
              <w:pStyle w:val="ListParagraph"/>
              <w:numPr>
                <w:ilvl w:val="0"/>
                <w:numId w:val="14"/>
              </w:numPr>
            </w:pPr>
            <w:r>
              <w:rPr/>
              <w:t xml:space="preserve">chemische (resten onderhoudsproducten, pesticiden, …)</w:t>
            </w:r>
          </w:p>
          <w:p>
            <w:pPr>
              <w:pStyle w:val="ListParagraph"/>
              <w:numPr>
                <w:ilvl w:val="0"/>
                <w:numId w:val="14"/>
              </w:numPr>
            </w:pPr>
            <w:r>
              <w:rPr/>
              <w:t xml:space="preserve">biologische (bacteriën,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gevaren benoemen,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 tussen besmettingsgevaar en hygiënerichtlijnen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processen van voedselbederf/natuurlijk afbraakproces</w:t>
            </w:r>
          </w:p>
          <w:p>
            <w:pPr>
              <w:pStyle w:val="ListParagraph"/>
              <w:numPr>
                <w:ilvl w:val="0"/>
                <w:numId w:val="15"/>
              </w:numPr>
            </w:pPr>
            <w:r>
              <w:rPr/>
              <w:t xml:space="preserve">enzymatisch of biologisch bederf (eiwitsplitsing, splitsing van vetten, verzuring/vergisting, schimmelvorming)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processen van voedselbederf/natuurlijk afbraakproces bij het bewaren van voeding beschrijven, toelichten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levensvoorwaarden voor micro-organismen herkennen, beschrijven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preventie</w:t>
            </w:r>
          </w:p>
          <w:p>
            <w:pPr>
              <w:pStyle w:val="ListParagraph"/>
              <w:numPr>
                <w:ilvl w:val="0"/>
                <w:numId w:val="16"/>
              </w:numPr>
            </w:pPr>
            <w:r>
              <w:rPr/>
              <w:t xml:space="preserve"> bewaren van voedsel</w:t>
            </w:r>
          </w:p>
          <w:p>
            <w:pPr>
              <w:pStyle w:val="ListParagraph"/>
              <w:numPr>
                <w:ilvl w:val="0"/>
                <w:numId w:val="16"/>
              </w:numPr>
            </w:pPr>
            <w:r>
              <w:rPr/>
              <w:t xml:space="preserve"> begrippen: koude keten, FIFO, LIFO, warme keten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voor het bewaren van voedsel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correct bewaren van een bereiding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tips voor het bewaren van voedsel benoemen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koude keten, FIFO, LIFO, warme keten herkennen, benoemen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Bewaartechnieken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bewaartechnieken</w:t>
            </w:r>
          </w:p>
          <w:p>
            <w:pPr>
              <w:pStyle w:val="ListParagraph"/>
              <w:numPr>
                <w:ilvl w:val="0"/>
                <w:numId w:val="17"/>
              </w:numPr>
            </w:pPr>
            <w:r>
              <w:rPr/>
              <w:t xml:space="preserve">koelen, invriezen, IQF</w:t>
            </w:r>
          </w:p>
          <w:p>
            <w:pPr>
              <w:pStyle w:val="ListParagraph"/>
              <w:numPr>
                <w:ilvl w:val="0"/>
                <w:numId w:val="17"/>
              </w:numPr>
            </w:pPr>
            <w:r>
              <w:rPr/>
              <w:t xml:space="preserve">drogen, vriesdrogen of lyofilisatie</w:t>
            </w:r>
          </w:p>
          <w:p>
            <w:pPr>
              <w:pStyle w:val="ListParagraph"/>
              <w:numPr>
                <w:ilvl w:val="0"/>
                <w:numId w:val="17"/>
              </w:numPr>
            </w:pPr>
            <w:r>
              <w:rPr/>
              <w:t xml:space="preserve">vacuüm, beschermende atmosfeer</w:t>
            </w:r>
          </w:p>
          <w:p>
            <w:pPr>
              <w:pStyle w:val="ListParagraph"/>
              <w:numPr>
                <w:ilvl w:val="0"/>
                <w:numId w:val="17"/>
              </w:numPr>
            </w:pPr>
            <w:r>
              <w:rPr/>
              <w:t xml:space="preserve">roken, pekelen</w:t>
            </w:r>
          </w:p>
          <w:p>
            <w:pPr>
              <w:pStyle w:val="ListParagraph"/>
              <w:numPr>
                <w:ilvl w:val="0"/>
                <w:numId w:val="17"/>
              </w:numPr>
            </w:pPr>
            <w:r>
              <w:rPr/>
              <w:t xml:space="preserve">steriliseren, pasteuriseren, UHT</w:t>
            </w:r>
          </w:p>
          <w:p>
            <w:pPr>
              <w:pStyle w:val="ListParagraph"/>
              <w:numPr>
                <w:ilvl w:val="0"/>
                <w:numId w:val="17"/>
              </w:numPr>
            </w:pPr>
            <w:r>
              <w:rPr/>
              <w:t xml:space="preserve">voedselbestraling (of irradiatie of ionisatie)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principe van deze verschillende bewaartechnieken benoemen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tussen de processen van voedselbederf, ontwikkeling van micro-organismen en bewaartechnieken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Voeding en veiligheid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Individuele veiligheidsvoorschriften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individueel voorkomen: kledij, kapsel, sieraden, schoeisel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enkele individuele veiligheidsvoorschriften in verband met kledij, kapsel, sieraden en schoeisel benoemen, toelichten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ergonomisch handelen</w:t>
            </w:r>
          </w:p>
          <w:p>
            <w:pPr>
              <w:pStyle w:val="ListParagraph"/>
              <w:numPr>
                <w:ilvl w:val="0"/>
                <w:numId w:val="18"/>
              </w:numPr>
            </w:pPr>
            <w:r>
              <w:rPr/>
              <w:t xml:space="preserve"> beweging</w:t>
            </w:r>
          </w:p>
          <w:p>
            <w:pPr>
              <w:pStyle w:val="ListParagraph"/>
              <w:numPr>
                <w:ilvl w:val="0"/>
                <w:numId w:val="18"/>
              </w:numPr>
            </w:pPr>
            <w:r>
              <w:rPr/>
              <w:t xml:space="preserve"> licht/lucht</w:t>
            </w:r>
          </w:p>
          <w:p>
            <w:pPr>
              <w:pStyle w:val="ListParagraph"/>
              <w:numPr>
                <w:ilvl w:val="0"/>
                <w:numId w:val="18"/>
              </w:numPr>
            </w:pPr>
            <w:r>
              <w:rPr/>
              <w:t xml:space="preserve"> temperatuur</w:t>
            </w:r>
          </w:p>
          <w:p>
            <w:pPr>
              <w:pStyle w:val="ListParagraph"/>
              <w:numPr>
                <w:ilvl w:val="0"/>
                <w:numId w:val="18"/>
              </w:numPr>
            </w:pPr>
            <w:r>
              <w:rPr/>
              <w:t xml:space="preserve"> geluid en trillingen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ergonomie beschrijven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ergonomie herkennen, toelichten en illustreren aan de hand van concrete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algemene principes in verband met ergonomisch handelen in een professionele context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voorstellen formuleren voor concrete situaties tot ergonomisch handelen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richtlijnen voor ergonomisch handelen in diverse contexten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Kennis en opleiding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van veilig handelen in een professionele context</w:t>
              <w:br/>
              <w:t xml:space="preserve"/>
              <w:br/>
              <w:t xml:space="preserve"/>
            </w:r>
          </w:p>
          <w:p>
            <w:pPr>
              <w:pStyle w:val="ListParagraph"/>
              <w:numPr>
                <w:ilvl w:val="0"/>
                <w:numId w:val="19"/>
              </w:numPr>
            </w:pPr>
            <w:r>
              <w:rPr/>
              <w:t xml:space="preserve"> risicoanalyse</w:t>
            </w:r>
          </w:p>
          <w:p>
            <w:pPr>
              <w:pStyle w:val="ListParagraph"/>
              <w:numPr>
                <w:ilvl w:val="0"/>
                <w:numId w:val="19"/>
              </w:numPr>
            </w:pPr>
            <w:r>
              <w:rPr/>
              <w:t xml:space="preserve"> werkpostfiche</w:t>
            </w:r>
          </w:p>
          <w:p>
            <w:pPr>
              <w:pStyle w:val="ListParagraph"/>
              <w:numPr>
                <w:ilvl w:val="0"/>
                <w:numId w:val="19"/>
              </w:numPr>
            </w:pPr>
            <w:r>
              <w:rPr/>
              <w:t xml:space="preserve"> veiligheidsinstructiekaart</w:t>
            </w:r>
          </w:p>
          <w:p>
            <w:pPr>
              <w:pStyle w:val="ListParagraph"/>
              <w:numPr>
                <w:ilvl w:val="0"/>
                <w:numId w:val="19"/>
              </w:numPr>
            </w:pPr>
            <w:r>
              <w:rPr/>
              <w:t xml:space="preserve"> preventiehiërarchie</w:t>
            </w:r>
          </w:p>
          <w:p>
            <w:pPr>
              <w:pStyle w:val="ListParagraph"/>
              <w:numPr>
                <w:ilvl w:val="0"/>
                <w:numId w:val="19"/>
              </w:numPr>
            </w:pPr>
            <w:r>
              <w:rPr/>
              <w:t xml:space="preserve"> detectiesystemen en brandbestrijdingsmiddelen</w:t>
            </w:r>
          </w:p>
          <w:p>
            <w:pPr>
              <w:pStyle w:val="ListParagraph"/>
              <w:numPr>
                <w:ilvl w:val="0"/>
                <w:numId w:val="19"/>
              </w:numPr>
            </w:pPr>
            <w:r>
              <w:rPr/>
              <w:t xml:space="preserve"> veiligheidspictogrammen</w:t>
            </w:r>
          </w:p>
          <w:p>
            <w:pPr>
              <w:pStyle w:val="ListParagraph"/>
              <w:numPr>
                <w:ilvl w:val="0"/>
                <w:numId w:val="19"/>
              </w:numPr>
            </w:pPr>
            <w:r>
              <w:rPr/>
              <w:t xml:space="preserve"> evacuatieplannen</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toelichten 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maatregelen beschrijven en toelichten om onveilige situaties in de keuken te vermijden/beperken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veiligheidsinstructies, veiligheidspictogrammen, werkpostfiches, risicoanalyses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EHBO</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plichten als burger inzake EHBO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plichten als burger inzake EHBO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basisprincipes en stappen bij EHBO</w:t>
            </w:r>
          </w:p>
          <w:p>
            <w:pPr>
              <w:pStyle w:val="ListParagraph"/>
              <w:numPr>
                <w:ilvl w:val="0"/>
                <w:numId w:val="20"/>
              </w:numPr>
            </w:pPr>
            <w:r>
              <w:rPr/>
              <w:t xml:space="preserve">handel als eerstehulpverlener</w:t>
            </w:r>
          </w:p>
          <w:p>
            <w:pPr>
              <w:pStyle w:val="ListParagraph"/>
              <w:numPr>
                <w:ilvl w:val="0"/>
                <w:numId w:val="20"/>
              </w:numPr>
            </w:pPr>
            <w:r>
              <w:rPr/>
              <w:t xml:space="preserve">blijf rustig</w:t>
            </w:r>
          </w:p>
          <w:p>
            <w:pPr>
              <w:pStyle w:val="ListParagraph"/>
              <w:numPr>
                <w:ilvl w:val="0"/>
                <w:numId w:val="20"/>
              </w:numPr>
            </w:pPr>
            <w:r>
              <w:rPr/>
              <w:t xml:space="preserve">psychosociale eerste hulp</w:t>
            </w:r>
          </w:p>
          <w:p>
            <w:pPr>
              <w:pStyle w:val="ListParagraph"/>
              <w:numPr>
                <w:ilvl w:val="0"/>
                <w:numId w:val="20"/>
              </w:numPr>
            </w:pPr>
            <w:r>
              <w:rPr/>
              <w:t xml:space="preserve">vermijd besmetting</w:t>
            </w:r>
          </w:p>
          <w:p>
            <w:pPr>
              <w:pStyle w:val="ListParagraph"/>
              <w:numPr>
                <w:ilvl w:val="0"/>
                <w:numId w:val="20"/>
              </w:numPr>
            </w:pPr>
            <w:r>
              <w:rPr/>
              <w:t xml:space="preserve">comfort slachtoffer</w:t>
            </w:r>
          </w:p>
          <w:p>
            <w:pPr>
              <w:pStyle w:val="ListParagraph"/>
              <w:numPr>
                <w:ilvl w:val="0"/>
                <w:numId w:val="20"/>
              </w:numPr>
            </w:pPr>
            <w:r>
              <w:rPr/>
              <w:t xml:space="preserve">houd rekening met emotionele 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basisprincipes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opeenvolgende stappen bij EHBO in noodsituaties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eerste hulp bij verschillende ongevallen (verslikking, huidwonde, brandwonde,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hoe de eerste hulp moet verlopen bij de verschillende ongevallen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eerste hulp bij verschillende ongevallen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Voeding en verschillende leeftijdsgroepen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Peuters en kleuters</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eisen van een verantwoorde gezonde voeding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voedingsmodellen de kwantitatieve en de kwalitatieve behoefte van voedingsstoffen voor de peuter/kleuter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voedingsbehoeften van een peuter/kleuter benoemen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basistechnieken en basisprincipes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basistechnieken en basisprincipes aanpassen aan de voedingsbehoeften van de doelgroep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samenstelling van diverse maaltijden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fouten uit een maaltijd die voor een peuter/kleuter bedoeld is, herkennen en de juiste aanpassingen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aanpassingen aan maaltijden uitvoeren volgens de voedingsbehoefte van de peuter/kleuter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samenstelling van een optimaal dagmenu voor de peuter/kleuter toelichten, illustreren en bereiden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besluiten afleiden, verbeteringen toelichten en verantwoorden aan de hand van een voedingsmodel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Het schoolgaand kind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eisen van een verantwoorde gezonde voeding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voedingsmodellen de kwantitatieve en de kwalitatieve behoefte van voedingsstoffen voor het schoolgaand kind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voedingsbehoeften van het schoolgaand kind benoemen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basistechnieken en basisprincipes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basistechnieken en basisprincipes aanpassen aan de voedingsbehoeften van de doelgroep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samenstelling van diverse maaltijden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fouten uit een maaltijd die voor het schoolgaand kind bedoeld is, herkennen en de juiste aanpassingen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aanpassingen aan maaltijden uitvoeren volgens de voedingsbehoefte van het schoolgaand kind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samenstelling van een optimaal dagmenu voor het schoolgaand kind toelichten, illustreren en bereiden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besluiten, verbeteringen toelichten en verantwoorden aan de hand van een voedingsmodel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Pubers en adolescenten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eisen van een verantwoorde gezonde voeding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voedingsmodellen de kwantitatieve en de kwalitatieve behoefte van voedingsstoffen voor de puber/adolescent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voedingsbehoeften van de puber/adolescent benoemen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basistechnieken en basisprincipes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basistechnieken en basisprincipes aanpassen aan de voedingsbehoeften van de doelgroep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samenstelling van diverse maaltijden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fouten uit een maaltijd die voor de puber/adolescent bedoeld is, herkennen en de juiste aanpassingen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aanpassingen aan maaltijden uitvoeren volgens de voedingsbehoefte van de puber/adolescent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samenstelling van een optimaal dagmenu voor de puber/adolescent toelichten, illustreren en bereiden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besluiten afleiden, verbeteringen toelichten en verantwoorden aan de hand van een voedingsmodel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Volwassenen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eisen van een verantwoorde gezonde voeding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voedingsmodellen de kwantitatieve en de kwalitatieve behoefte van voedingsstoffen voor de volwassene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voedingsbehoeften van de volwassene benoemen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basistechnieken en basisprincipes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basistechnieken en basisprincipes aanpassen aan de voedingsbehoeften van de doelgroep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samenstelling van diverse maaltijden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fouten uit een maaltijd die voor de volwassene bedoeld is, herkennen en de juiste aanpassingen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aanpassingen aan maaltijden uitvoeren volgens de voedingsbehoefte van de volwassene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samenstelling van een optimaal dagmenu voor de volwassene toelichten, illustreren en bereiden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besluiten afleiden, verbeteringen toelichten en verantwoorden aan de hand van een voedingsmodel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Senioren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eisen van een verantwoorde gezonde voeding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voedingsmodellen de kwantitatieve en de kwalitatieve behoefte van voedingsstoffen voor de senioren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voedingsbehoeften van senioren benoemen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basistechnieken en basisprincipes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basistechnieken en basisprincipes aanpassen aan de voedingsbehoeften van de doelgroep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samenstelling van diverse maaltijden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fouten uit een maaltijd die voor senioren bedoeld is, herkennen en de juiste aanpassingen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aanpassingen aan maaltijden uitvoeren volgens de voedingsbehoefte van senioren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samenstelling van een optimaal dagmenu voor senioren toelichten, illustreren en bereiden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besluiten afleiden, verbeteringen toelichten en verantwoorden aan de hand van een voedingsmodel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Sporters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eisen van een verantwoorde gezonde voeding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voedingsmodellen de kwantitatieve en de kwalitatieve behoefte van voedingsstoffen voor sporters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voedingsbehoeften van sporters benoemen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basistechnieken en basisprincipes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basistechnieken en basisprincipes aanpassen aan de voedingsbehoeften van de doelgroep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samenstelling van diverse maaltijden.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fouten uit een maaltijd die voor sporters bedoeld is, herkennen en de juiste aanpassingen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aanpassingen aan maaltijden uitvoeren volgens de voedingsbehoefte van sporters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samenstelling van een optimaal dagmenu voor sporters toelichten, illustreren en bereiden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besluiten afleiden, verbeteringen toelichten en verantwoorden aan de hand van een voedingsmodel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Voeding en gezondheidsproblemen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Voeding en gezondheidsproblemen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voeding en gezondheidsproblemen (soorten, kenmerken en oorzaken)</w:t>
            </w:r>
          </w:p>
          <w:p>
            <w:pPr>
              <w:pStyle w:val="ListParagraph"/>
              <w:numPr>
                <w:ilvl w:val="0"/>
                <w:numId w:val="21"/>
              </w:numPr>
            </w:pPr>
            <w:r>
              <w:rPr/>
              <w:t xml:space="preserve"> constipatie</w:t>
            </w:r>
          </w:p>
          <w:p>
            <w:pPr>
              <w:pStyle w:val="ListParagraph"/>
              <w:numPr>
                <w:ilvl w:val="0"/>
                <w:numId w:val="21"/>
              </w:numPr>
            </w:pPr>
            <w:r>
              <w:rPr/>
              <w:t xml:space="preserve"> diarree</w:t>
            </w:r>
          </w:p>
          <w:p>
            <w:pPr>
              <w:pStyle w:val="ListParagraph"/>
              <w:numPr>
                <w:ilvl w:val="0"/>
                <w:numId w:val="21"/>
              </w:numPr>
            </w:pPr>
            <w:r>
              <w:rPr/>
              <w:t xml:space="preserve"> slik-, kauw- en verteringsproblemen (voeding afwijkend in consistentie)</w:t>
            </w:r>
          </w:p>
          <w:p>
            <w:pPr>
              <w:pStyle w:val="ListParagraph"/>
              <w:numPr>
                <w:ilvl w:val="0"/>
                <w:numId w:val="21"/>
              </w:numPr>
            </w:pPr>
            <w:r>
              <w:rPr/>
              <w:t xml:space="preserve"> bloedarmoede</w:t>
            </w:r>
          </w:p>
          <w:p>
            <w:pPr>
              <w:pStyle w:val="ListParagraph"/>
              <w:numPr>
                <w:ilvl w:val="0"/>
                <w:numId w:val="21"/>
              </w:numPr>
            </w:pPr>
            <w:r>
              <w:rPr/>
              <w:t xml:space="preserve"> osteoporose</w:t>
            </w:r>
          </w:p>
          <w:p>
            <w:pPr>
              <w:pStyle w:val="ListParagraph"/>
              <w:numPr>
                <w:ilvl w:val="0"/>
                <w:numId w:val="21"/>
              </w:numPr>
            </w:pPr>
            <w:r>
              <w:rPr/>
              <w:t xml:space="preserve"> obesitas (hypertensie, hart- en vaatziekten, diabetes type II)</w:t>
            </w:r>
          </w:p>
          <w:p>
            <w:pPr>
              <w:pStyle w:val="ListParagraph"/>
              <w:numPr>
                <w:ilvl w:val="0"/>
                <w:numId w:val="21"/>
              </w:numPr>
            </w:pPr>
            <w:r>
              <w:rPr/>
              <w:t xml:space="preserve"> kanker</w:t>
            </w:r>
          </w:p>
          <w:p>
            <w:pPr>
              <w:pStyle w:val="ListParagraph"/>
              <w:numPr>
                <w:ilvl w:val="0"/>
                <w:numId w:val="21"/>
              </w:numPr>
            </w:pPr>
            <w:r>
              <w:rPr/>
              <w:t xml:space="preserve"> voedselallergieën en voedselintoleranties</w:t>
            </w:r>
          </w:p>
          <w:p>
            <w:pPr>
              <w:pStyle w:val="ListParagraph"/>
              <w:numPr>
                <w:ilvl w:val="0"/>
                <w:numId w:val="21"/>
              </w:numPr>
            </w:pPr>
            <w:r>
              <w:rPr/>
              <w:t xml:space="preserve"> eetstoornissen (anorexia nervosa en boulimia nervosa)</w:t>
            </w:r>
          </w:p>
          <w:p>
            <w:pPr>
              <w:pStyle w:val="ListParagraph"/>
              <w:numPr>
                <w:ilvl w:val="0"/>
                <w:numId w:val="21"/>
              </w:numPr>
            </w:pPr>
            <w:r>
              <w:rPr/>
              <w:t xml:space="preserve"> verslaving (alcoholisme)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mogelijke oorzaken voor de meest voorkomende gezondheidsproblemen per doelgroep (hierboven weergegeven) gelinkt aan voeding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deze gezondheidsproblemen benoemen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invloed van de voedingsstoffen bij deze gezondheidsproblemen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aanpassingen uitvoeren op maaltijden met het oog op het vermijden van gezondheidsproblemen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bereiding van een gerecht uitvoeren aan de hand van verschillende dieetprincipes (eventueel met dieetproducten) en het resultaat (smaak, kostprijs, voedingswaarde, …) hiervan vergelijken met gezonde gevarieerde voeding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voedingsfouten en de gezondheidsproblemen (bijvoorbeeld welvaartziekten)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bereidingstechnieken aanpassen in functie van gezondheidsproblemen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Marketing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Marketing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 marketing/consumentengedrag</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marketing/consumentengedrag beschrijven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4 P's:</w:t>
              <w:br/>
              <w:t xml:space="preserve"/>
              <w:br/>
              <w:t xml:space="preserve"/>
            </w:r>
          </w:p>
          <w:p>
            <w:pPr>
              <w:pStyle w:val="ListParagraph"/>
              <w:numPr>
                <w:ilvl w:val="0"/>
                <w:numId w:val="22"/>
              </w:numPr>
            </w:pPr>
            <w:r>
              <w:rPr/>
              <w:t xml:space="preserve">prijs</w:t>
            </w:r>
          </w:p>
          <w:p>
            <w:pPr>
              <w:pStyle w:val="ListParagraph"/>
              <w:numPr>
                <w:ilvl w:val="0"/>
                <w:numId w:val="22"/>
              </w:numPr>
            </w:pPr>
            <w:r>
              <w:rPr/>
              <w:t xml:space="preserve">plaats</w:t>
            </w:r>
          </w:p>
          <w:p>
            <w:pPr>
              <w:pStyle w:val="ListParagraph"/>
              <w:numPr>
                <w:ilvl w:val="0"/>
                <w:numId w:val="22"/>
              </w:numPr>
            </w:pPr>
            <w:r>
              <w:rPr/>
              <w:t xml:space="preserve">product</w:t>
            </w:r>
          </w:p>
          <w:p>
            <w:pPr>
              <w:pStyle w:val="ListParagraph"/>
              <w:numPr>
                <w:ilvl w:val="0"/>
                <w:numId w:val="22"/>
              </w:numPr>
            </w:pPr>
            <w:r>
              <w:rPr/>
              <w:t xml:space="preserve">promotie</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vergelijking van verschillende gerechten in functie van kostprijs, samenstelling en voedingswaarde toepassen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relatie tussen de 4P’s beschrijven</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Productinformatie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voedingsmiddelenetiket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het etiket op een verpakking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gegevens voedingsmiddelenetiket</w:t>
            </w:r>
          </w:p>
          <w:p>
            <w:pPr>
              <w:pStyle w:val="ListParagraph"/>
              <w:numPr>
                <w:ilvl w:val="0"/>
                <w:numId w:val="23"/>
              </w:numPr>
            </w:pPr>
            <w:r>
              <w:rPr/>
              <w:t xml:space="preserve"> voedingswaarde (nutritionele waarde)</w:t>
            </w:r>
          </w:p>
          <w:p>
            <w:pPr>
              <w:pStyle w:val="ListParagraph"/>
              <w:numPr>
                <w:ilvl w:val="0"/>
                <w:numId w:val="23"/>
              </w:numPr>
            </w:pPr>
            <w:r>
              <w:rPr/>
              <w:t xml:space="preserve"> ingrediënten</w:t>
            </w:r>
          </w:p>
          <w:p>
            <w:pPr>
              <w:pStyle w:val="ListParagraph"/>
              <w:numPr>
                <w:ilvl w:val="0"/>
                <w:numId w:val="23"/>
              </w:numPr>
            </w:pPr>
            <w:r>
              <w:rPr/>
              <w:t xml:space="preserve"> voedingsstoffen</w:t>
            </w:r>
          </w:p>
          <w:p>
            <w:pPr>
              <w:pStyle w:val="ListParagraph"/>
              <w:numPr>
                <w:ilvl w:val="0"/>
                <w:numId w:val="23"/>
              </w:numPr>
            </w:pPr>
            <w:r>
              <w:rPr/>
              <w:t xml:space="preserve">allergenen (soorten, vermelding en symbolen)</w:t>
            </w:r>
          </w:p>
          <w:p>
            <w:pPr>
              <w:pStyle w:val="ListParagraph"/>
              <w:numPr>
                <w:ilvl w:val="0"/>
                <w:numId w:val="23"/>
              </w:numPr>
            </w:pPr>
            <w:r>
              <w:rPr/>
              <w:t xml:space="preserve"> verplichte en niet-verplichte vermeldingen</w:t>
            </w:r>
          </w:p>
          <w:p>
            <w:pPr>
              <w:pStyle w:val="ListParagraph"/>
              <w:numPr>
                <w:ilvl w:val="0"/>
                <w:numId w:val="23"/>
              </w:numPr>
            </w:pPr>
            <w:r>
              <w:rPr/>
              <w:t xml:space="preserve">additieven (soorten, codes, benamingen, voor- en nadelen)</w:t>
            </w:r>
          </w:p>
          <w:p>
            <w:pPr>
              <w:pStyle w:val="ListParagraph"/>
              <w:numPr>
                <w:ilvl w:val="0"/>
                <w:numId w:val="23"/>
              </w:numPr>
            </w:pPr>
            <w:r>
              <w:rPr/>
              <w:t xml:space="preserve">kwaliteitslabels/symbolen/milieulabels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gegevens op het etiket van een verpakking herkennen en benoemen, opsommen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weergegeven voedingswaarde op het etiket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weergegeven voedingswaarden op het etiket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op etiketten herkennen en benoemen op basis van de aanwezige voedingsstoffen in functie van de verschillende doelgroepen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belangrijkste soorten allergenen benoemen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vermelding van allergenen op voedingsmiddelenetiket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symbolen van allergenen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verplichte en niet-verplichte vermeldingen benoemen,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belangrijkste soorten additieven benoemen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additieven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codes van additieven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 en nadelen van meest gebruikte additieven in functie van voedingsproblemen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afbeeldingen van verschillende kwaliteitslabels, milieulabels en symbolen met betrekking tot voedingsmiddelen herkennen</w:t>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verschillende kwaliteitslabels, milieulabels en symbolen met betrekking tot voedingsmiddelen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Organiseren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5 M's en de Demingcirkel</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5 M’s en de Demingcirkel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5 M’s van de kwaliteitszorg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5 M’s die tijdens de voedselbehandeling de proceskwaliteit beïnvloeden:</w:t>
            </w:r>
          </w:p>
          <w:p>
            <w:pPr>
              <w:pStyle w:val="ListParagraph"/>
              <w:numPr>
                <w:ilvl w:val="0"/>
                <w:numId w:val="24"/>
              </w:numPr>
            </w:pPr>
            <w:r>
              <w:rPr/>
              <w:t xml:space="preserve"> beoordelen</w:t>
            </w:r>
          </w:p>
          <w:p>
            <w:pPr>
              <w:pStyle w:val="ListParagraph"/>
              <w:numPr>
                <w:ilvl w:val="0"/>
                <w:numId w:val="24"/>
              </w:numPr>
            </w:pPr>
            <w:r>
              <w:rPr/>
              <w:t xml:space="preserve"> de fouten ordenen op een visgraatdiagram</w:t>
            </w:r>
          </w:p>
          <w:p>
            <w:pPr>
              <w:pStyle w:val="ListParagraph"/>
              <w:numPr>
                <w:ilvl w:val="0"/>
                <w:numId w:val="24"/>
              </w:numPr>
            </w:pPr>
            <w:r>
              <w:rPr/>
              <w:t xml:space="preserve"> aanpassingen uitvoeren op het recept met het oog op een beter eindproduct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eenvoudige opdracht het principe van de Demingcirkel toelichten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stappenplan/opdracht opdelen in deelopdrachten:</w:t>
            </w:r>
          </w:p>
          <w:p>
            <w:pPr>
              <w:pStyle w:val="ListParagraph"/>
              <w:numPr>
                <w:ilvl w:val="0"/>
                <w:numId w:val="25"/>
              </w:numPr>
            </w:pPr>
            <w:r>
              <w:rPr/>
              <w:t xml:space="preserve"> analyseren</w:t>
            </w:r>
          </w:p>
          <w:p>
            <w:pPr>
              <w:pStyle w:val="ListParagraph"/>
              <w:numPr>
                <w:ilvl w:val="0"/>
                <w:numId w:val="25"/>
              </w:numPr>
            </w:pPr>
            <w:r>
              <w:rPr/>
              <w:t xml:space="preserve"> plannen</w:t>
            </w:r>
          </w:p>
          <w:p>
            <w:pPr>
              <w:pStyle w:val="ListParagraph"/>
              <w:numPr>
                <w:ilvl w:val="0"/>
                <w:numId w:val="25"/>
              </w:numPr>
            </w:pPr>
            <w:r>
              <w:rPr/>
              <w:t xml:space="preserve"> uitvoeren</w:t>
            </w:r>
          </w:p>
          <w:p>
            <w:pPr>
              <w:pStyle w:val="ListParagraph"/>
              <w:numPr>
                <w:ilvl w:val="0"/>
                <w:numId w:val="25"/>
              </w:numPr>
            </w:pPr>
            <w:r>
              <w:rPr/>
              <w:t xml:space="preserve"> beoordelen van een product en proces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oplossingsgericht en doelgericht werken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stappenplan maken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organisatie en bereiding van een gerecht aan de hand van een stappenplan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 elke deelopdracht de juiste keuze van de methode, het materiaal en de middelen toepassen en de beschikbaarheid nagaan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product- en procesbeoordeling uitvoeren en eventuele bijsturingen formuleren met het oog op verdere optimalisering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reflectie over de kwaliteit van je handelen uitvoeren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Aandachtspunten bij het organiseren van een maaltijd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organiseren van een maaltijd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presentatie van visueel aantrekkelijke gerechten uitvoeren afgestemd op de doelgroep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eenvoudige sfeerschepping ontwerpen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respectvol tafelen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wassen en opruimen van de vaat correct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apparatuur en hulpmiddelen werkklaar maken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juiste wegingen en metingen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bereiding volgens gekozen bereidingswijze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presentatie van gerechten/maaltijden op basis van een werkmodel uitvoeren voor een kleine doelgroep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presentatie van gerechten volgens criteria uitvoeren en deze keuze verantwoorden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concretiseren van de opdracht:</w:t>
            </w:r>
          </w:p>
          <w:p>
            <w:pPr>
              <w:pStyle w:val="ListParagraph"/>
              <w:numPr>
                <w:ilvl w:val="0"/>
                <w:numId w:val="26"/>
              </w:numPr>
            </w:pPr>
            <w:r>
              <w:rPr/>
              <w:t xml:space="preserve"> wat?</w:t>
            </w:r>
          </w:p>
          <w:p>
            <w:pPr>
              <w:pStyle w:val="ListParagraph"/>
              <w:numPr>
                <w:ilvl w:val="0"/>
                <w:numId w:val="26"/>
              </w:numPr>
            </w:pPr>
            <w:r>
              <w:rPr/>
              <w:t xml:space="preserve"> door wie?</w:t>
            </w:r>
          </w:p>
          <w:p>
            <w:pPr>
              <w:pStyle w:val="ListParagraph"/>
              <w:numPr>
                <w:ilvl w:val="0"/>
                <w:numId w:val="26"/>
              </w:numPr>
            </w:pPr>
            <w:r>
              <w:rPr/>
              <w:t xml:space="preserve"> voor wie/wat?</w:t>
            </w:r>
          </w:p>
          <w:p>
            <w:pPr>
              <w:pStyle w:val="ListParagraph"/>
              <w:numPr>
                <w:ilvl w:val="0"/>
                <w:numId w:val="26"/>
              </w:numPr>
            </w:pPr>
            <w:r>
              <w:rPr/>
              <w:t xml:space="preserve"> waar?</w:t>
            </w:r>
          </w:p>
          <w:p>
            <w:pPr>
              <w:pStyle w:val="ListParagraph"/>
              <w:numPr>
                <w:ilvl w:val="0"/>
                <w:numId w:val="26"/>
              </w:numPr>
            </w:pPr>
            <w:r>
              <w:rPr/>
              <w:t xml:space="preserve"> wanneer?</w:t>
            </w:r>
          </w:p>
          <w:p>
            <w:pPr>
              <w:pStyle w:val="ListParagraph"/>
              <w:numPr>
                <w:ilvl w:val="0"/>
                <w:numId w:val="26"/>
              </w:numPr>
            </w:pPr>
            <w:r>
              <w:rPr/>
              <w:t xml:space="preserve"> met welk budget?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opdracht concreet beschrijven en op basis hiervan een strategie ontwerpen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maaltijd plannen en het uitvoeren van de voorbereiding en de bereiding ervan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organiseren en bereiden van een gerecht aan de hand van een stappenplan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bereiden, afwerken en presenteren van de gerechten creatief uitvoeren</w:t>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organisatie en bereiding van een gezonde en smakelijke maaltijd uitvoeren op een veilige, ergonomische, kwaliteitsvolle en milieuvriendelijke manier, rekening houdend met de dagelijkse behoefte en de aanbevolen hoeveelheden per dag per persoon en met het budget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toepassen van een creatieve manier om een tafel te dekken volgens de etiquette, rekening houdend met het doel van de maaltijd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gebruik van de gepaste serveermiddelen toepassen, rekening houdend met serveerregels aangepast aan de situatie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bereiding van gerechten voor specifieke doelgroepen uitvoeren op een veilige, ergonomische en milieuvriendelijke manier, rekening houdend met de dagelijkse behoefte en de aanbevolen hoeveelheden per dag per persoon en met het budget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Basisregels menuleer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menuleer</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volgorde van de gangen benoemen en aanpassingen uitvoeren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basisregels waarmee men rekening dient te houden bij het opstellen van een menu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fouten in de basisregels formuleren en aanpassingen uitvoeren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originele menukaart maken, rekening houdend met de eisen waaraan een menupatroon moet voldoen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b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75 minuten voor examens vanaf 13-07-2019 tot 31-12-2019</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‘TV Huishoudkunde 3tso’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Je mag geen corrector meebrengen!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Indien nodig mag je gebruik maken van de rekenmachine op de computer.</w:t>
      </w:r>
    </w:p>
    <w:p>
      <w:pPr>
        <w:jc w:val="both"/>
      </w:pPr>
      <w:r>
        <w:t xml:space="preserve"/>
      </w:r>
    </w:p>
    <w:p>
      <w:pPr>
        <w:jc w:val="both"/>
      </w:pPr>
      <w:r>
        <w:t xml:space="preserve">Kladpapier.</w:t>
      </w:r>
    </w:p>
    <w:p>
      <w:pPr>
        <w:jc w:val="both"/>
      </w:pPr>
      <w:r>
        <w:t xml:space="preserve"/>
      </w:r>
    </w:p>
    <w:p>
      <w:pPr>
        <w:jc w:val="both"/>
      </w:pPr>
      <w:r>
        <w:t xml:space="preserve">Een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invulvragen, sleepvragen, dropdownvragen, interpretatie van afbeeldingen en tabellen, meerkeuzevragen.</w:t>
      </w:r>
    </w:p>
    <w:p>
      <w:pPr>
        <w:jc w:val="both"/>
      </w:pPr>
      <w:r>
        <w:t xml:space="preserve"/>
      </w:r>
    </w:p>
    <w:p>
      <w:pPr>
        <w:jc w:val="both"/>
      </w:pPr>
      <w:r>
        <w:t xml:space="preserve">Er is geen giscorrectie.</w:t>
      </w:r>
    </w:p>
    <w:p>
      <w:pPr>
        <w:jc w:val="both"/>
      </w:pPr>
      <w:r>
        <w:t xml:space="preserve"/>
      </w:r>
    </w:p>
    <w:p>
      <w:pPr>
        <w:jc w:val="both"/>
      </w:pPr>
      <w:r>
        <w:t xml:space="preserve">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 moet je het juiste antwoord aanduiden om punten te scoren;</w:t>
      </w:r>
    </w:p>
    <w:p>
      <w:pPr>
        <w:jc w:val="both"/>
      </w:pPr>
      <w:r>
        <w:t xml:space="preserve"> - naargelang het vraagtype kan je voor een gedeeltelijk juist antwoord soms ook punten scoren;</w:t>
      </w:r>
    </w:p>
    <w:p>
      <w:pPr>
        <w:jc w:val="both"/>
      </w:pPr>
      <w:r>
        <w:t xml:space="preserve"> - is er geen giscorrectie.</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voedingsvoorlichting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consument en zijn voedingspatroon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voeding en hygiëne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voeding en veiligheid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voeding en verschillende leeftijdsgroepen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voeding en gezondheidsproblemen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marketing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organiseren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en verwijzen we naar websites of andere uitgaven die je ook kunnen helpen bij je voorbereiding.</w:t>
        <w:br/>
        <w:t xml:space="preserve"/>
        <w:br/>
        <w:t xml:space="preserve"> </w:t>
        <w:br/>
        <w:t xml:space="preserve"/>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ISBN/Gegevens/Auteur</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Kookblaadjes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9789045532769</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Voedingsmiddelentabel</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vzw Nubel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5de uitgave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Voedingsatelier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Wolters 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DE GRAEF D., VAN APEREN A., VANLUCHENE K., VERVOORT K</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Levensmiddelenleer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ThiemeMeulenhoff bv</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CASTERBERG C.M.E., G.J.M. KEMPEN- VAN DOMMELEN</w:t>
              <w:br/>
              <w:t xml:space="preserve"/>
              <w:br/>
              <w:t xml:space="preserve">ISBN 9789055746095</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Naslagwerk Indirecte zorg - Zorgwijzer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Uitgeverij Plantyn</w:t>
              <w:br/>
              <w:t xml:space="preserve"/>
              <w:br/>
              <w:t xml:space="preserve"> </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13-08-2018</w:t>
              <w:br/>
              <w:t xml:space="preserve"/>
              <w:br/>
              <w:t xml:space="preserve">Ria Hofkens, Sonja Mennen, Nathalie Wolfs, Martine Bogemans, Sharon Demeyere, Sonja Buelens, Helena Huyghe, Saskia Goethals</w:t>
              <w:br/>
              <w:t xml:space="preserve"/>
              <w:br/>
              <w:t xml:space="preserve">ISBN 978-90-301-4763-3</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Proefondervindelijk studie van de voeding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 Brugge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DECLEER, A.</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Receptenleer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Uitgeverij HB, uitgevers – Baarn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J.G. VAN EDEN, A.S. VISSER, T.F., VISSER, A. VAN DE ZEDDE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Voedingsmiddelentabellen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Nederland NEVO, België NUBEL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Ons Kookboek KVLV, 2018</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Uitgever KVLV-ID</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9080484423</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Voedingsleer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Bohn Stafleu van Loghum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ELLEN KLAASSE-DERKS</w:t>
              <w:br/>
              <w:t xml:space="preserve"/>
              <w:br/>
              <w:t xml:space="preserve">ISBN 9789036817936</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Mens en zyn voeding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ThiemeMeulenhoff bv</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 TOORS</w:t>
              <w:br/>
              <w:t xml:space="preserve"/>
              <w:br/>
              <w:t xml:space="preserve">ISBN 9789023621515</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Kookboek voor diabeten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C. PROVOOST, LINDA CLAEYS</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Gezond eten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CORA DE VOS</w:t>
              <w:br/>
              <w:t xml:space="preserve"/>
              <w:br/>
              <w:t xml:space="preserve">ISBN 9789027446183</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Voedingsleer en hygiëne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SVH Uitgeverij, Zoetermeer 1996</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Hygiëne op de werkvloer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Uitgeverij Die Keure, Brugge 1998</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C. VAN BELLE, G. MOEYAERT, K. NEYTS</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Voedingsleer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Uitgeverij De sikkel 1991</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J.COMPEERS, F. DEKEYZER, H. SEGERS</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Dieetleer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Uitgeverij De sikkel 1992</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J.COMPEERS, F. DEKEYZER, H. SEGERS</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Voeding, chemie om te overleven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Uitgeverij Wolters Leuven 1993</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ERIC ONKELINX</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Warenwetgeving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Uitgeverij Die Keure, Brugge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Keukenmanagement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SVH Uitgeverij, Postbus 303 Zoetermeer 1994</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Stap voor stap organiseren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Uitgeverij Lannoo Tielt 1999</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Mens en voeding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ThiemeMeulenhoff bv</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9789055745609</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Voedingsmiddelentechnologie</w:t>
              <w:br/>
              <w:t xml:space="preserve"/>
              <w:br/>
              <w:t xml:space="preserve">Technisch – wetenschappelijk tijdschrift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Keesing Noordervliet bv, Houtem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Voeding en diëten in de verzorging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Integraal Uitgeverij De Sikkel 1993</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NETTY VAN KAATHOVEN</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Keukenorganisatie en -apparatuur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Uitgeverij, Zoetermeer 1996</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Handleiding keukenplanning: Het programma van eisen : Programma voor ruimtelijke consequenties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Den Haag : Voorlichtingsbureau voor de Voeding</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A.H.F. VAN DER DRIFT, A. WASSENAAR</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Warenkennis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Uitgeversmaatschappij Zutphen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C. VAN DEN BRINK, W.</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Websites</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Websites</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http://www.nubel.com</w:t>
              <w:br/>
              <w:t xml:space="preserve"/>
              <w:br/>
              <w:t xml:space="preserv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www.gezondheid.be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www.vigez.be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www.mijnvoedingsplan.be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https://www.gezondleven.be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http://gezondsporten.be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https://www.kindengezin.be/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