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willekeurige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 Elk vraagtype heeft een eigen instructiezin, die aangeeft wat je precies moet doen.  </w:t>
      </w:r>
    </w:p>
    <w:p>
      <w:pPr>
        <w:jc w:val="both"/>
      </w:pPr>
      <w:r>
        <w:t xml:space="preserve">Oefen de verschillende vraagtypes vooraf goed in. Op de website vind je een oefenexamen waarin je ze kan uitproberen. Uiteraard is dit geen echt examen; de bedoeling is dat je de techniek van de digitale vraagtypes in de vingers krijgt. Alle info om je voor te bereiden vind je op onze website: www.vlaanderen.be/examencommissie-secundair-onderwijs/voorbereiding.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5/6</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http://www.nbb.be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en bedrijfsbeheer</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