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chemie 3 aso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2024 tot en met 31 december  2024</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https://www.onderwijsdoelen.be/</w:t>
      </w:r>
      <w:r w:rsidRPr="008D6CC8">
        <w:rPr>
          <w:color w:val="00B050"/>
        </w:rPr>
        <w:t/>
      </w:r>
    </w:p>
    <w:p w14:paraId="127485B0" w14:textId="03980261" w:rsidR="003605F6" w:rsidRPr="003605F6" w:rsidRDefault="003605F6" w:rsidP="008D6CC8">
      <w:pPr>
        <w:spacing w:after="160" w:line="259" w:lineRule="auto"/>
      </w:pPr>
      <w:r w:rsidRPr="008D6CC8">
        <w:rPr>
          <w:color w:val="00B050"/>
        </w:rPr>
        <w:t/>
      </w:r>
      <w:r>
        <w:t>Andere</w:t>
      </w:r>
      <w:r w:rsidR="00AF709A">
        <w:t xml:space="preserve"> </w:t>
      </w:r>
      <w:r w:rsidR="0034339E">
        <w:t xml:space="preserve">: </w:t>
      </w:r>
      <w: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Om in onze maatschappij bewust, kritisch en op verantwoordelijke wijze te kunnen functioneren, moet je voldoende kennis en vaardigheden bezitten voor het vak chemie.  Tal van verschijnselen uit je dagelijkse wereld kunnen vanuit deze wetenschapstak worden verklaard. Bijvoorbeeld de ontwikkeling van nieuwe geneesmiddelen, duurzame materialen, alternatieven voor  energieproductie en afvalverwerking en het toepassen van nano-technologie.</w:t>
        <w:br/>
        <w:t xml:space="preserve"/>
        <w:br/>
        <w:t xml:space="preserve">Maar ook omgekeerd, hebben verschillende wetenschappelijke ontwikkelingen uit de chemie een grote invloed op jouw dagelijkse omgeving, denk maar aan oplaadbare batterijen in je gsm, waterafstotende kunststoffen in kleding en schoenen, bio-afbreekbare boodschappentassen.</w:t>
        <w:br/>
        <w:t xml:space="preserve"/>
        <w:br/>
        <w:t xml:space="preserve">Het verwerken en beheersen van de leerinhouden en leerdoelen opgenomen in deze vakfiche, heeft tot doel je wetenschappelijke kennis en vaardigheden voor het vak chemie te vergroten.  Op die manier willen we het voor jou mogelijk maken hogere studies aan te vangen, met wetenschappelijke component. Ook zou het je moeten helpen om verantwoorde en bewuste keuzes te maken in het  dagelijkse leven.</w:t>
        <w:br/>
        <w:t xml:space="preserve"/>
        <w:br/>
        <w:t xml:space="preserve">Kijk dan ook verder dan de inhoudelijke leerdoelen. Ga actief aan de slag met de leerstof en wees nieuwsgierig. Zoek extra informatie op over wetenschappers of experimenten om de leerinhouden in hun historische context te plaatsen. We verwachten dat je creatief en kritisch omgaat met de leerinhouden en deze ook verbindt met actuele maatschappelijke ontwikkelingen en uitdagingen.  Sta stil bij de  impact van wetenschap en techniek op mens, milieu en maatschappij en daag jezelf uit om hierover standpunten te formuleren.</w:t>
        <w:br/>
        <w:t xml:space="preserve"/>
        <w:br/>
        <w:t xml:space="preserve">Probeer verder je momenten van zelfstudie efficiënt te benutten; plan je taken en werk met de nodige concentratie en zelfdiscipline.</w:t>
        <w:br/>
        <w:t xml:space="preserve"/>
        <w:br/>
        <w:t xml:space="preserve">We wensen je veel succes!</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INLEIDING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DEELTJESMODEL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CHEMISCH REKENEN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THERMODYNAMICA</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REACTIESNELHEID</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CHEMISCH EVENWICHT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6 ZUUR-BASE 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7 REDOXREACTIES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8 ORGANISCHE CHEMIE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9 ONDERZOEKSOPDRACHT</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INLEIDING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Op volgende pagina’s wordt beschreven wat je voor de verschillende leerstofonderdelen moet </w:t>
      </w:r>
      <w:r>
        <w:rPr>
          <w:b/>
        </w:rPr>
        <w:t xml:space="preserve">kennen</w:t>
      </w:r>
      <w:r>
        <w:rPr/>
        <w:t xml:space="preserve"> en wat je moet </w:t>
      </w:r>
      <w:r>
        <w:rPr>
          <w:b/>
        </w:rPr>
        <w:t xml:space="preserve">kunnen</w:t>
      </w:r>
      <w:r>
        <w:rPr/>
        <w:t xml:space="preserve"> en </w:t>
      </w:r>
      <w:r>
        <w:rPr>
          <w:b/>
        </w:rPr>
        <w:t xml:space="preserve">doen</w:t>
      </w:r>
      <w:r>
        <w:rPr/>
        <w:t xml:space="preserve"> op het examen om aan te tonen dat je de leerstof voldoende beheerst. Hieronder volgt een lijst met </w:t>
      </w:r>
      <w:r>
        <w:rPr>
          <w:b/>
        </w:rPr>
        <w:t xml:space="preserve">werkwoorden</w:t>
      </w:r>
      <w:r>
        <w:rPr/>
        <w:t xml:space="preserve"> en de betekenis die je daaraan moet verbinden. Neem deze lijst grondig door zodat je op een efficiënte manier met de leerstof aan de slag gaat.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nauwkeurig en letterlijk weergeven in woorden en formulevorm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aanduiden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gepresenteerd materiaal (beeldmateriaal, schema’s, omschrijving).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(eigen antwoord, afbeelding, tekst)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afleiden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gepresenteerde data, tabellen en grafieken relaties en waarden afleiden om een besluit te formuleren.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verklaring geven (oorzaak en gevolg).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Gelijkenissen en verschillen beschrijven tussen twee of meer objecten, structuren, ideeën, problemen,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toepassen (op/in)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bepaald principe of wet gebruiken om een vraag te beantwoorden of een vraagstuk op te lossen.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 / schematisch weergeven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Gevraagde structuren, processen en chemische reacties weergeven met behulp van grafieken, schema’s, modellen, reactievergelijkingen, tijdschalen.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interpreteren / 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uit onderzoek, grafieken, schema’s of modellen bewerken, interpreteren en 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beoordelen / argumenteren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standpunt formuleren en met wetenschappelijke argumenten onderbouwen.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opstellen / ontwerpen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(alternatieve) probleemstelling, onderzoeksvraag, onderzoeksmethode of hypothese(n) formuleren.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Bij de verschillende leerstofonderdelen worden '</w:t>
      </w:r>
      <w:r>
        <w:rPr>
          <w:b/>
        </w:rPr>
        <w:t xml:space="preserve">contextgebieden</w:t>
      </w:r>
      <w:r>
        <w:rPr/>
        <w:t xml:space="preserve">’ vermeld. De bedoeling is dat je voor deze thema’s actuele informatie uit verschillende dragers (wetenschap populariserend artikel, videofragment, etc.) kan interpreteren, in verband kan brengen met wetenschap-technologische ontwikkelingen en de heersende maatschappelijke debatten. Op het examen zal je gevraagd worden een persoonlijk standpunt te formuleren op gerichte vragen of stellingen aan de hand van gegeven informatie. Belangrijk is dat je jouw standpunt kan onderbouwen aan de hand van wetenschappelijke argumenten.</w:t>
      </w:r>
    </w:p>
    <w:p>
      <w:r>
        <w:rPr/>
        <w:t xml:space="preserve">Verderop in de vakfiche vind je ook</w:t>
      </w:r>
      <w:r>
        <w:rPr>
          <w:b/>
        </w:rPr>
        <w:t xml:space="preserve"> leermiddelen</w:t>
      </w:r>
      <w:r>
        <w:rPr/>
        <w:t xml:space="preserve"> die je kunnen helpen om deze leerstofonderdelen onder de knie te krijgen.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DEELTJESMODEL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ATOOMBOUW</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atoommodel van Bohr-Sommerfeld</w:t>
              <w:br/>
              <w:t xml:space="preserve"/>
              <w:br/>
              <w:t xml:space="preserve">lijnenspectrum</w:t>
              <w:br/>
              <w:t xml:space="preserve"/>
              <w:br/>
              <w:t xml:space="preserve">orbitalen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atoommodel van Bohr-Sommerfeld situeren in de ontwikkeling van het atoommodel </w:t>
              <w:br/>
              <w:t xml:space="preserve"/>
              <w:br/>
              <w:t xml:space="preserve">Het atoommodel van Bohr-Sommerfeld verklaren aan de hand van het lijnenspectrum (gekwantiseerde energie-niveaus) </w:t>
              <w:br/>
              <w:t xml:space="preserve"/>
              <w:br/>
              <w:t xml:space="preserve">het begrip orbitaal definiëren </w:t>
              <w:br/>
              <w:t xml:space="preserve"/>
              <w:br/>
              <w:t xml:space="preserve">s- en p-orbitalen herkennen en benoemen op een afbeelding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hoofd-, sub- en magnetisch niveau en spin</w:t>
              <w:br/>
              <w:t xml:space="preserve"/>
              <w:br/>
              <w:t xml:space="preserve">elektronenconfiguratie</w:t>
              <w:br/>
              <w:t xml:space="preserve"/>
              <w:br/>
              <w:t xml:space="preserve">regel van Hund</w:t>
              <w:br/>
              <w:t xml:space="preserve"/>
              <w:br/>
              <w:t xml:space="preserve">uitsluitingsprincipe van Pauli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hoofd-, sub- en magnetisch niveau en de spin van een elektron beschrijven aan de hand van de vier kwantumgetallen en omgekeerd  </w:t>
              <w:br/>
              <w:t xml:space="preserve"/>
              <w:br/>
              <w:t xml:space="preserve">het aantal elektronen in s, p, d en f orbitalen berekenen aan de hand van de vier kwantumgetallen </w:t>
              <w:br/>
              <w:t xml:space="preserve"/>
              <w:br/>
              <w:t xml:space="preserve">de elektronenconfiguratie van atomen en ionen noteren met symbolen (s, p, d en f), hokjes en in de verkorte notatie </w:t>
              <w:br/>
              <w:t xml:space="preserve"/>
              <w:br/>
              <w:t xml:space="preserve">de regel van Hund en het uitsluitingsprincipe van Pauli toepassen bij het schrijven van een elektronenconfiguratie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opbouw van het periodiek systeem (PSE)</w:t>
              <w:br/>
              <w:t xml:space="preserve"/>
              <w:br/>
              <w:t xml:space="preserve">valentie-elektronen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van het PSE beschrijven aan de hand van de elektronenconfiguraties van de elementen (s-, p-, d- en f-blok) </w:t>
              <w:br/>
              <w:t xml:space="preserve"/>
              <w:br/>
              <w:t xml:space="preserve">een element met een gegeven elektronconfiguratie plaatsen in het PSE </w:t>
              <w:br/>
              <w:t xml:space="preserve"/>
              <w:br/>
              <w:t xml:space="preserve">het aantal valentie-elektronen afleiden uit een gegeven elektronenconfiguratie </w:t>
              <w:br/>
              <w:t xml:space="preserve"/>
              <w:br/>
              <w:t xml:space="preserve">de grootte van atomen en ionen van verschillende elementen vergelijken met behulp van het PSE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isotopen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isotoop definiëren </w:t>
              <w:br/>
              <w:t xml:space="preserve"/>
              <w:br/>
              <w:t xml:space="preserve">de juiste notatie met massagetal en atoomnummer gebruiken om isotopen voor te stellen </w:t>
              <w:br/>
              <w:t xml:space="preserve"/>
              <w:br/>
              <w:t xml:space="preserve">de gemiddelde relatieve atoommassa van een element berekenen en verklaren aan de hand van het procentueel voorkomen van de natuurlijke isotopen van dat element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STRUCTUUR VAN MOLECULEN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atoombinding of covalente binding</w:t>
              <w:br/>
              <w:t xml:space="preserve"/>
              <w:br/>
              <w:t xml:space="preserve">sigma- en pi-binding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atoombinding en een ionbinding vergelijken aan de hand van de elektronegatieve waarde </w:t>
              <w:br/>
              <w:t xml:space="preserve"/>
              <w:br/>
              <w:t xml:space="preserve">een sigma- en pi-binding beschrijven, herkennen en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lewisstructuur</w:t>
              <w:br/>
              <w:t xml:space="preserve"/>
              <w:br/>
              <w:t xml:space="preserve">resonantie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lewisstructuren van moleculen en polyatomische ionen opstellen aan de hand van een gegeven chemische formule </w:t>
              <w:br/>
              <w:t xml:space="preserve"/>
              <w:br/>
              <w:t xml:space="preserve">een donor-acceptorbinding (datieve-binding) aanduiden en tekenen in een lewisstructuur </w:t>
              <w:br/>
              <w:t xml:space="preserve"/>
              <w:br/>
              <w:t xml:space="preserve">een formele lading toekennen aan de atomen in een lewisstructuur </w:t>
              <w:br/>
              <w:t xml:space="preserve"/>
              <w:br/>
              <w:t xml:space="preserve">resonantiestructuren (mesomere vormen) van een molecule tekenen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sterisch getal</w:t>
              <w:br/>
              <w:t xml:space="preserve"/>
              <w:br/>
              <w:t xml:space="preserve">ruimtelijke structuur</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sterisch getal van een atoom afleiden uit een gegeven lewisstructuur </w:t>
              <w:br/>
              <w:t xml:space="preserve"/>
              <w:br/>
              <w:t xml:space="preserve">de ruimtelijke structuur en de bindingshoeken van een molecule voorspellen aan de hand van een gegeven lewisstructuur </w:t>
              <w:br/>
              <w:t xml:space="preserve"/>
              <w:br/>
              <w:t xml:space="preserve">het verschil tussen de theoretische en werkelijke bindingshoek verklaren (bijvoorbeeld voor water is de theoretische hoek 109° maar in werkelijkheid is de hoek kleiner)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hybridisatie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hybridisatie van een atoom in verband brengen met het sterisch getal </w:t>
              <w:br/>
              <w:t xml:space="preserve"/>
              <w:br/>
              <w:t xml:space="preserve">hybridisatie (sp, sp², sp³) toelichten aan de hand van de structuur van de organische koolwaterstoffen methaan, etheen en ethyn</w:t>
              <w:br/>
              <w:t xml:space="preserve"/>
              <w:br/>
              <w:t xml:space="preserve">de hybridisatie afleiden in organische en anorganische 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INTERMOLECULAIRE KRACHTEN EN POLARITEIT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intermoleculaire krachten:</w:t>
            </w:r>
          </w:p>
          <w:p>
            <w:pPr>
              <w:pStyle w:val="ListParagraph"/>
              <w:numPr>
                <w:ilvl w:val="0"/>
                <w:numId w:val="8"/>
              </w:numPr>
            </w:pPr>
            <w:r>
              <w:rPr/>
              <w:t xml:space="preserve">dispersiekrachten</w:t>
            </w:r>
          </w:p>
          <w:p>
            <w:pPr>
              <w:pStyle w:val="ListParagraph"/>
              <w:numPr>
                <w:ilvl w:val="0"/>
                <w:numId w:val="8"/>
              </w:numPr>
            </w:pPr>
            <w:r>
              <w:rPr/>
              <w:t xml:space="preserve">dipoolkrachten</w:t>
            </w:r>
          </w:p>
          <w:p>
            <w:pPr>
              <w:pStyle w:val="ListParagraph"/>
              <w:numPr>
                <w:ilvl w:val="0"/>
                <w:numId w:val="8"/>
              </w:numPr>
            </w:pPr>
            <w:r>
              <w:rPr/>
              <w:t xml:space="preserve">waterstofbruggen</w:t>
            </w:r>
          </w:p>
          <w:p>
            <w:pPr>
              <w:pStyle w:val="ListParagraph"/>
              <w:numPr>
                <w:ilvl w:val="0"/>
                <w:numId w:val="8"/>
              </w:numPr>
            </w:pPr>
            <w:r>
              <w:rPr/>
              <w:t xml:space="preserve">ion-dipoolkrachten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intermoleculaire krachten beschrijven </w:t>
              <w:br/>
              <w:t xml:space="preserve"/>
              <w:br/>
              <w:t xml:space="preserve">de relatieve sterkte vergelijken van deze intermoleculaire krachten </w:t>
              <w:br/>
              <w:t xml:space="preserve"/>
              <w:br/>
              <w:t xml:space="preserve">het verband leggen tussen het kookpunt/smeltpunt van stoffen en de intermoleculaire krachten aan de hand van waarnemingen en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polariteit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polariteit van een molecule afleiden aan de hand van de ruimtelijke structuur en elektronegatieve waarden </w:t>
              <w:br/>
              <w:t xml:space="preserve"/>
              <w:br/>
              <w:t xml:space="preserve">de oplosbaarheid in oplosmiddelen voorspellen en in verband brengen met de polariteit van een molecule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CHEMISCH REKENEN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normomstandigheden</w:t>
              <w:br/>
              <w:t xml:space="preserve"/>
              <w:br/>
              <w:t xml:space="preserve">molair gasvolume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normomstandigheden definiëren en toepassen in berekeningen</w:t>
              <w:br/>
              <w:t xml:space="preserve"/>
              <w:br/>
              <w:t xml:space="preserve">het molair gasvolume definiëren en toepassen in berekeningen </w:t>
              <w:br/>
              <w:t xml:space="preserve"/>
              <w:br/>
              <w:t xml:space="preserve">de algemene gaswet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samenstelling van oplossingen:</w:t>
            </w:r>
          </w:p>
          <w:p>
            <w:pPr>
              <w:pStyle w:val="ListParagraph"/>
              <w:numPr>
                <w:ilvl w:val="0"/>
                <w:numId w:val="9"/>
              </w:numPr>
            </w:pPr>
            <w:r>
              <w:rPr/>
              <w:t xml:space="preserve">massaconcentratie</w:t>
            </w:r>
          </w:p>
          <w:p>
            <w:pPr>
              <w:pStyle w:val="ListParagraph"/>
              <w:numPr>
                <w:ilvl w:val="0"/>
                <w:numId w:val="9"/>
              </w:numPr>
            </w:pPr>
            <w:r>
              <w:rPr/>
              <w:t xml:space="preserve">molaire concentratie</w:t>
            </w:r>
          </w:p>
          <w:p>
            <w:pPr>
              <w:pStyle w:val="ListParagraph"/>
              <w:numPr>
                <w:ilvl w:val="0"/>
                <w:numId w:val="9"/>
              </w:numPr>
            </w:pPr>
            <w:r>
              <w:rPr/>
              <w:t xml:space="preserve">massaprocent</w:t>
            </w:r>
          </w:p>
          <w:p>
            <w:pPr>
              <w:pStyle w:val="ListParagraph"/>
              <w:numPr>
                <w:ilvl w:val="0"/>
                <w:numId w:val="9"/>
              </w:numPr>
            </w:pPr>
            <w:r>
              <w:rPr/>
              <w:t xml:space="preserve">volumeprocent</w:t>
            </w:r>
          </w:p>
          <w:p>
            <w:pPr>
              <w:pStyle w:val="ListParagraph"/>
              <w:numPr>
                <w:ilvl w:val="0"/>
                <w:numId w:val="9"/>
              </w:numPr>
            </w:pPr>
            <w:r>
              <w:rPr/>
              <w:t xml:space="preserve">massa-volumeprocent</w:t>
            </w:r>
          </w:p>
          <w:p>
            <w:pPr>
              <w:pStyle w:val="ListParagraph"/>
              <w:numPr>
                <w:ilvl w:val="0"/>
                <w:numId w:val="9"/>
              </w:numPr>
            </w:pPr>
            <w:r>
              <w:rPr/>
              <w:t xml:space="preserve">ppm en ppb</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hiernaast genoemde concentratie-uitdrukkingen definiëren </w:t>
              <w:br/>
              <w:t xml:space="preserve"/>
              <w:br/>
              <w:t xml:space="preserve">deze concentratie-uitdrukkingen toepassen in vraagstukken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chemische reacties</w:t>
              <w:br/>
              <w:t xml:space="preserve"/>
              <w:br/>
              <w:t xml:space="preserve">overmaat en limiterend reagens</w:t>
              <w:br/>
              <w:t xml:space="preserve"/>
              <w:br/>
              <w:t xml:space="preserve">rendement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op basis van een gegeven reactievergelijking de massa’s, stofhoeveelheden, concentraties en gasvolumes berekenen van de uitgangsstoffen en de reactieproducten bij stoichiometrische hoeveelheden en bij overmaat van één van de uitgangsstoffen </w:t>
              <w:br/>
              <w:t xml:space="preserve"/>
              <w:br/>
              <w:t xml:space="preserve">het rendement berekenen van een reactie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THERMODYNAMICA</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energiediagram (energie versus reactieverloop)</w:t>
              <w:br/>
              <w:t xml:space="preserve"/>
              <w:br/>
              <w:t xml:space="preserve">activeringsenergie en reactie-energie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activeringsenergie en de reactie-energie onderscheiden van elkaar aan de hand van een energiediagram  </w:t>
              <w:br/>
              <w:t xml:space="preserve"/>
              <w:br/>
              <w:t xml:space="preserve"/>
              <w:br/>
              <w:t xml:space="preserve">het energiediagram beschrijven, interpreteren en toelichten voor een endo- en exo-energetische reactie, al dan niet in aanwezigheid van een katalysator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enthalpie</w:t>
              <w:br/>
              <w:t xml:space="preserve"/>
              <w:br/>
              <w:t xml:space="preserve">entropie</w:t>
              <w:br/>
              <w:t xml:space="preserve"/>
              <w:br/>
              <w:t xml:space="preserve">vrije energie en spontane 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reactie-enthalpie en vormingsenthalpie definiëren </w:t>
              <w:br/>
              <w:t xml:space="preserve"/>
              <w:br/>
              <w:t xml:space="preserve">het begrip entropie beschrijven </w:t>
              <w:br/>
              <w:t xml:space="preserve"/>
              <w:br/>
              <w:t xml:space="preserve">de formule voor vrije energie toepassen om te voorspellen of een reactie al dan niet spontaan verloopt (geen berekening met getalswaarden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wet van Hess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enthalpieverandering tijdens een chemische reactie berekenen aan de hand van gegeven vormingsenthalpieën in de bijlage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REACTIESNELHEID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reactiesnelheid</w:t>
              <w:br/>
              <w:t xml:space="preserve"/>
              <w:br/>
              <w:t xml:space="preserve">activeringsenergie en geactiveerd complex</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reactiesnelheid definiëren</w:t>
              <w:br/>
              <w:t xml:space="preserve"/>
              <w:br/>
              <w:t xml:space="preserve">het belang van de activeringsenergie en het geactiveerde complex beschrijven bij effectieve botsingen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de reactiesnelheid beïnvloeden</w:t>
              <w:br/>
              <w:t xml:space="preserve"/>
              <w:br/>
              <w:t xml:space="preserve">botsingsmodel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factoren benoemen die de reactiesnelheid beïnvloeden </w:t>
              <w:br/>
              <w:t xml:space="preserve"/>
              <w:br/>
              <w:t xml:space="preserve">de factoren die de reactiesnelheid beïnvloeden verklaren met behulp van het botsingsmodel</w:t>
              <w:br/>
              <w:t xml:space="preserve"/>
              <w:br/>
              <w:t xml:space="preserve">een hypothese formuleren en relevante variabelen aangeven om  een probleemstelling in verband met de reactiesnelheid te onderzoeken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snelheidsvergelijking</w:t>
              <w:br/>
              <w:t xml:space="preserve"/>
              <w:br/>
              <w:t xml:space="preserve">orde van een reactie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snelheidsvergelijking opstellen op basis van gemeten reactiesnelheden bij wisselende beginconcentraties van de uitgangsstoffen </w:t>
              <w:br/>
              <w:t xml:space="preserve"/>
              <w:br/>
              <w:t xml:space="preserve">de orde van een reactie afleiden uit een gegeven snelheidsvergelijking </w:t>
              <w:br/>
              <w:t xml:space="preserve"/>
              <w:br/>
              <w:t xml:space="preserve">de orde van een reactie afleiden uit meetgegevens van de concentratie tegen de tijd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CHEMISCH EVENWICHT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chemisch evenwicht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verschil herkennen en beschrijven tussen een aflopende reactie en een evenwichtsreactie en toepassen in gegeven voorbeelden</w:t>
              <w:br/>
              <w:t xml:space="preserve"/>
              <w:br/>
              <w:t xml:space="preserve">het begrip dynamisch evenwicht toepassen in gegeven voorbeelden</w:t>
              <w:br/>
              <w:t xml:space="preserve"/>
              <w:br/>
              <w:t xml:space="preserve">de evolutie van een chemisch evenwicht grafisch interpreteren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evenwichtsconstante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evenwichtsconstante schrijven voor een gegeven evenwichtsreactie </w:t>
              <w:br/>
              <w:t xml:space="preserve"/>
              <w:br/>
              <w:t xml:space="preserve">de evenwichtsconstante berekenen aan de hand van waarnemingen en experimentele gegevens</w:t>
              <w:br/>
              <w:t xml:space="preserve"/>
              <w:br/>
              <w:t xml:space="preserve">de evenwichtsconcentraties in evenwicht berekenen aan de hand van waarnemingen en experimentele 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het chemisch evenwicht beïnvloeden: </w:t>
            </w:r>
          </w:p>
          <w:p>
            <w:pPr>
              <w:pStyle w:val="ListParagraph"/>
              <w:numPr>
                <w:ilvl w:val="0"/>
                <w:numId w:val="10"/>
              </w:numPr>
            </w:pPr>
            <w:r>
              <w:rPr/>
              <w:t xml:space="preserve">concentratieverandering van één van de stoffen  </w:t>
            </w:r>
          </w:p>
          <w:p>
            <w:pPr>
              <w:pStyle w:val="ListParagraph"/>
              <w:numPr>
                <w:ilvl w:val="0"/>
                <w:numId w:val="10"/>
              </w:numPr>
            </w:pPr>
            <w:r>
              <w:rPr/>
              <w:t xml:space="preserve">concentratieverandering van alle stoffen </w:t>
            </w:r>
          </w:p>
          <w:p>
            <w:pPr>
              <w:pStyle w:val="ListParagraph"/>
              <w:numPr>
                <w:ilvl w:val="0"/>
                <w:numId w:val="10"/>
              </w:numPr>
            </w:pPr>
            <w:r>
              <w:rPr/>
              <w:t xml:space="preserve">katalysator </w:t>
            </w:r>
          </w:p>
          <w:p>
            <w:pPr>
              <w:pStyle w:val="ListParagraph"/>
              <w:numPr>
                <w:ilvl w:val="0"/>
                <w:numId w:val="10"/>
              </w:numPr>
            </w:pPr>
            <w:r>
              <w:rPr/>
              <w:t xml:space="preserve">temperatuurverandering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invloed van de hiernaast genoemde factoren op de ligging van het evenwicht verklaren aan de hand van het principe van Le Châtelier- van 't Hoff   </w:t>
              <w:br/>
              <w:t xml:space="preserve"> </w:t>
              <w:br/>
              <w:t xml:space="preserve">de invloed van deze factoren op het evenwicht voorspellen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6 ZUUR-BASE 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zuren en basen volgens Brønsted</w:t>
              <w:br/>
              <w:t xml:space="preserve"/>
              <w:br/>
              <w:t xml:space="preserve">amfolyt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zuur en een base definiëren volgens Brønsted </w:t>
              <w:br/>
              <w:t xml:space="preserve"/>
              <w:br/>
              <w:t xml:space="preserve">zuren en basen en geconjugeerde zuren en basen aanduiden in een reactie </w:t>
              <w:br/>
              <w:t xml:space="preserve"/>
              <w:br/>
              <w:t xml:space="preserve">een amfolyt beschrijven en aanduiden in een reactie </w:t>
              <w:br/>
              <w:t xml:space="preserve"/>
              <w:br/>
              <w:t xml:space="preserve">een protolysereactie tussen een zuur en een base aanvullen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pH</w:t>
              <w:br/>
              <w:t xml:space="preserve"/>
              <w:br/>
              <w:t xml:space="preserve">zuur- en baseconstanten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ionisatie van water schrijven als reactievergelijking en de waterconstante schrijven  </w:t>
              <w:br/>
              <w:t xml:space="preserve"> </w:t>
              <w:br/>
              <w:t xml:space="preserve">het begrip pH definiëren  </w:t>
              <w:br/>
              <w:t xml:space="preserve"> </w:t>
              <w:br/>
              <w:t xml:space="preserve">de pH, pOH, en de concentraties OH</w:t>
            </w:r>
            <w:r>
              <w:rPr>
                <w:vertAlign w:val="superscript"/>
              </w:rPr>
              <w:t xml:space="preserve">-</w:t>
            </w:r>
            <w:r>
              <w:rPr/>
              <w:t xml:space="preserve"> en H</w:t>
            </w:r>
            <w:r>
              <w:rPr>
                <w:vertAlign w:val="subscript"/>
              </w:rPr>
              <w:t xml:space="preserve">3</w:t>
            </w:r>
            <w:r>
              <w:rPr/>
              <w:t xml:space="preserve">O</w:t>
            </w:r>
            <w:r>
              <w:rPr>
                <w:vertAlign w:val="superscript"/>
              </w:rPr>
              <w:t xml:space="preserve">+</w:t>
            </w:r>
            <w:r>
              <w:rPr/>
              <w:t xml:space="preserve"> berekenen en in verband brengen met elkaar  </w:t>
              <w:br/>
              <w:t xml:space="preserve"> </w:t>
              <w:br/>
              <w:t xml:space="preserve">de zuurconstante (K</w:t>
            </w:r>
            <w:r>
              <w:rPr>
                <w:vertAlign w:val="subscript"/>
              </w:rPr>
              <w:t xml:space="preserve">z</w:t>
            </w:r>
            <w:r>
              <w:rPr/>
              <w:t xml:space="preserve">) en de baseconstante (K</w:t>
            </w:r>
            <w:r>
              <w:rPr>
                <w:vertAlign w:val="subscript"/>
              </w:rPr>
              <w:t xml:space="preserve">b</w:t>
            </w:r>
            <w:r>
              <w:rPr/>
              <w:t xml:space="preserve">) schrijven  </w:t>
              <w:br/>
              <w:t xml:space="preserve"> </w:t>
              <w:br/>
              <w:t xml:space="preserve">het verband leggen tussen zuur-base constanten en de sterkte van zuren en basen  </w:t>
              <w:br/>
              <w:t xml:space="preserve"> </w:t>
              <w:br/>
              <w:t xml:space="preserve">de K</w:t>
            </w:r>
            <w:r>
              <w:rPr>
                <w:vertAlign w:val="subscript"/>
              </w:rPr>
              <w:t xml:space="preserve">z</w:t>
            </w:r>
            <w:r>
              <w:rPr/>
              <w:t xml:space="preserve">, pK</w:t>
            </w:r>
            <w:r>
              <w:rPr>
                <w:vertAlign w:val="subscript"/>
              </w:rPr>
              <w:t xml:space="preserve">z</w:t>
            </w:r>
            <w:r>
              <w:rPr/>
              <w:t xml:space="preserve">, K</w:t>
            </w:r>
            <w:r>
              <w:rPr>
                <w:vertAlign w:val="subscript"/>
              </w:rPr>
              <w:t xml:space="preserve">b</w:t>
            </w:r>
            <w:r>
              <w:rPr/>
              <w:t xml:space="preserve"> en pK</w:t>
            </w:r>
            <w:r>
              <w:rPr>
                <w:vertAlign w:val="subscript"/>
              </w:rPr>
              <w:t xml:space="preserve">b</w:t>
            </w:r>
            <w:r>
              <w:rPr/>
              <w:t xml:space="preserve"> berekenen en in verband brengen met elkaar </w:t>
              <w:br/>
              <w:t xml:space="preserve"> </w:t>
              <w:br/>
              <w:t xml:space="preserve">de pH van sterke en zwakke zuren en basen berekenen met behulp van de tabel met zuur-base constanten in de bijlage.  </w:t>
              <w:br/>
              <w:t xml:space="preserve"> </w:t>
              <w:br/>
              <w:t xml:space="preserve">de pH van zouten kwalitatief voorspellen en verklaren.  </w:t>
              <w:br/>
              <w:t xml:space="preserve"> </w:t>
              <w:br/>
              <w:t xml:space="preserve">de pH berekenen van een oplossing van een sterk zuur of sterke base na verdunning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buffermengsels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buffermengsel definiëren en herkennen.  </w:t>
              <w:br/>
              <w:t xml:space="preserve"/>
              <w:br/>
              <w:t xml:space="preserve">het belang van buffermengsel met een voorbeeld illustreren  </w:t>
              <w:br/>
              <w:t xml:space="preserve"> </w:t>
              <w:br/>
              <w:t xml:space="preserve">de werking van een buffermengsel verklaren  </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neutralisatiereacties</w:t>
              <w:br/>
              <w:t xml:space="preserve"/>
              <w:br/>
              <w:t xml:space="preserve">titratie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neutralisatie van een sterk/zwak zuur met een sterke/zwakke base door een reactievergelijking voorstellen </w:t>
              <w:br/>
              <w:t xml:space="preserve"/>
              <w:br/>
              <w:t xml:space="preserve">het begrip equivalentiepunt definiëren</w:t>
              <w:br/>
              <w:t xml:space="preserve"/>
              <w:br/>
              <w:t xml:space="preserve">het verloop van de pH illustreren en verklaren tijdens een titratie van een sterk zuur of een sterke base</w:t>
              <w:br/>
              <w:t xml:space="preserve"/>
              <w:br/>
              <w:t xml:space="preserve">de concentratie van een onbekende oplossing berekenen aan de hand van  meetgegevens van een titratie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aquatische systemen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bufferwerking en de invloed van zuren en basen in aquatische systemen evalueren en beoordelen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7 REDOXREACTIES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oxidatie en reductie</w:t>
              <w:br/>
              <w:t xml:space="preserve"/>
              <w:br/>
              <w:t xml:space="preserve">oxidator en reductor</w:t>
              <w:br/>
              <w:t xml:space="preserve"/>
              <w:br/>
              <w:t xml:space="preserve">oxidatiegetal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oxidatie, reductie, oxidator en reductor toelichten aan de hand van een gegeven reactievergelijking</w:t>
              <w:br/>
              <w:t xml:space="preserve"/>
              <w:br/>
              <w:t xml:space="preserve">het oxidatiegetal afleiden van een atoom in een chemische verbinding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redoxreacties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reeks chemische reacties afleiden welke reacties redoxreactie zijn </w:t>
              <w:br/>
              <w:t xml:space="preserve"/>
              <w:br/>
              <w:t xml:space="preserve">redoxreacties opstellen in zuur en basisch milieu op basis van (experimentele) gegevens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standaardredoxpotentiaal</w:t>
              <w:br/>
              <w:t xml:space="preserve"/>
              <w:br/>
              <w:t xml:space="preserve">galvanische cel</w:t>
              <w:br/>
              <w:t xml:space="preserve"/>
              <w:br/>
              <w:t xml:space="preserve">elektrolyse</w:t>
              <w:br/>
              <w:t xml:space="preserve"/>
              <w:br/>
              <w:t xml:space="preserve">toepassingen:</w:t>
            </w:r>
          </w:p>
          <w:p>
            <w:pPr>
              <w:pStyle w:val="ListParagraph"/>
              <w:numPr>
                <w:ilvl w:val="0"/>
                <w:numId w:val="11"/>
              </w:numPr>
            </w:pPr>
            <w:r>
              <w:rPr/>
              <w:t xml:space="preserve">galvaniseren</w:t>
            </w:r>
          </w:p>
          <w:p>
            <w:pPr>
              <w:pStyle w:val="ListParagraph"/>
              <w:numPr>
                <w:ilvl w:val="0"/>
                <w:numId w:val="11"/>
              </w:numPr>
            </w:pPr>
            <w:r>
              <w:rPr/>
              <w:t xml:space="preserve">kathodische bescherming van metalen</w:t>
            </w:r>
          </w:p>
          <w:p>
            <w:pPr>
              <w:pStyle w:val="ListParagraph"/>
              <w:numPr>
                <w:ilvl w:val="0"/>
                <w:numId w:val="11"/>
              </w:numPr>
            </w:pPr>
            <w:r>
              <w:rPr/>
              <w:t xml:space="preserve">waterstofcellen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standaardredoxpotentiaal definiëren</w:t>
              <w:br/>
              <w:t xml:space="preserve"/>
              <w:br/>
              <w:t xml:space="preserve">de relatieve sterkte van reductors en oxidators afleiden uit de tabel met standaardredoxpotentialen in de bijlage </w:t>
              <w:br/>
              <w:t xml:space="preserve"/>
              <w:br/>
              <w:t xml:space="preserve">het evenwicht van een redoxreactie voorspellen met behulp van een tabel met standaardredoxpotentialen </w:t>
              <w:br/>
              <w:t xml:space="preserve"/>
              <w:br/>
              <w:t xml:space="preserve">de bouw van een galvanische cel beschrijven </w:t>
              <w:br/>
              <w:t xml:space="preserve"/>
              <w:br/>
              <w:t xml:space="preserve">het verschil tussen een galvanische cel en elektrolytische cel toelichten </w:t>
              <w:br/>
              <w:t xml:space="preserve"/>
              <w:br/>
              <w:t xml:space="preserve">de reactieproducten die tijdens elektrolyse van een zoutoplossing of een gesmolten zout aan de kathode en anode ontstaan voorspellen </w:t>
              <w:br/>
              <w:t xml:space="preserve"/>
              <w:br/>
              <w:t xml:space="preserve">de werking van de hiernaast genoemde toepassingen verklaren en het maatschappelijk belang ervan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chemie en energievoorziening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chemie en energievoorziening (zoals groene chemie, herlaadbare batterijen, waterstofgas als brandstof voor auto's)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8 ORGANISCHE CHEMIE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8.1 ORGANISCHE STOFFEN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IUPAC-naamgeving van organische stoffen</w:t>
              <w:br/>
              <w:t xml:space="preserve"/>
              <w:br/>
              <w:t xml:space="preserve">organische stofklassen:</w:t>
              <w:br/>
              <w:t xml:space="preserve"/>
              <w:br/>
              <w:t xml:space="preserve"/>
            </w:r>
          </w:p>
          <w:p>
            <w:pPr>
              <w:pStyle w:val="ListParagraph"/>
              <w:numPr>
                <w:ilvl w:val="0"/>
                <w:numId w:val="12"/>
              </w:numPr>
            </w:pPr>
            <w:r>
              <w:rPr/>
              <w:t xml:space="preserve">alkanen, alkenen, alkynen</w:t>
            </w:r>
          </w:p>
          <w:p>
            <w:pPr>
              <w:pStyle w:val="ListParagraph"/>
              <w:numPr>
                <w:ilvl w:val="0"/>
                <w:numId w:val="12"/>
              </w:numPr>
            </w:pPr>
            <w:r>
              <w:rPr/>
              <w:t xml:space="preserve">halogeenalkanen</w:t>
            </w:r>
          </w:p>
          <w:p>
            <w:pPr>
              <w:pStyle w:val="ListParagraph"/>
              <w:numPr>
                <w:ilvl w:val="0"/>
                <w:numId w:val="12"/>
              </w:numPr>
            </w:pPr>
            <w:r>
              <w:rPr/>
              <w:t xml:space="preserve">alcoholen</w:t>
            </w:r>
          </w:p>
          <w:p>
            <w:pPr>
              <w:pStyle w:val="ListParagraph"/>
              <w:numPr>
                <w:ilvl w:val="0"/>
                <w:numId w:val="12"/>
              </w:numPr>
            </w:pPr>
            <w:r>
              <w:rPr/>
              <w:t xml:space="preserve">ethers</w:t>
            </w:r>
          </w:p>
          <w:p>
            <w:pPr>
              <w:pStyle w:val="ListParagraph"/>
              <w:numPr>
                <w:ilvl w:val="0"/>
                <w:numId w:val="12"/>
              </w:numPr>
            </w:pPr>
            <w:r>
              <w:rPr/>
              <w:t xml:space="preserve">aldehyden</w:t>
            </w:r>
          </w:p>
          <w:p>
            <w:pPr>
              <w:pStyle w:val="ListParagraph"/>
              <w:numPr>
                <w:ilvl w:val="0"/>
                <w:numId w:val="12"/>
              </w:numPr>
            </w:pPr>
            <w:r>
              <w:rPr/>
              <w:t xml:space="preserve">ketonen</w:t>
            </w:r>
          </w:p>
          <w:p>
            <w:pPr>
              <w:pStyle w:val="ListParagraph"/>
              <w:numPr>
                <w:ilvl w:val="0"/>
                <w:numId w:val="12"/>
              </w:numPr>
            </w:pPr>
            <w:r>
              <w:rPr/>
              <w:t xml:space="preserve">carbonzuren</w:t>
            </w:r>
          </w:p>
          <w:p>
            <w:pPr>
              <w:pStyle w:val="ListParagraph"/>
              <w:numPr>
                <w:ilvl w:val="0"/>
                <w:numId w:val="12"/>
              </w:numPr>
            </w:pPr>
            <w:r>
              <w:rPr/>
              <w:t xml:space="preserve">esters</w:t>
            </w:r>
          </w:p>
          <w:p>
            <w:pPr>
              <w:pStyle w:val="ListParagraph"/>
              <w:numPr>
                <w:ilvl w:val="0"/>
                <w:numId w:val="12"/>
              </w:numPr>
            </w:pPr>
            <w:r>
              <w:rPr/>
              <w:t xml:space="preserve">aminen</w:t>
            </w:r>
          </w:p>
          <w:p>
            <w:pPr>
              <w:pStyle w:val="ListParagraph"/>
              <w:numPr>
                <w:ilvl w:val="0"/>
                <w:numId w:val="12"/>
              </w:numPr>
            </w:pPr>
            <w:r>
              <w:rPr/>
              <w:t xml:space="preserve">amiden</w:t>
            </w:r>
          </w:p>
          <w:p>
            <w:r>
              <w:rPr/>
              <w:t xml:space="preserve"> </w:t>
              <w:br/>
              <w:t xml:space="preserve"/>
              <w:br/>
              <w:t xml:space="preserve">organische stoffen:</w:t>
              <w:br/>
              <w:t xml:space="preserve"/>
              <w:br/>
              <w:t xml:space="preserve">paraffine, ethyn, ethanol, methanol, methaan, aceton, azijnzuur, chloroform, ether, formaldehyde, glycol, glycerol en white spirit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IUPAC regels voor naamgeving toepassen op de hiernaast genoemde stofklassen om vanuit een gegeven formule de systematische naam te vormen en omgekeerd </w:t>
              <w:br/>
              <w:t xml:space="preserve"/>
              <w:br/>
              <w:t xml:space="preserve">een gegeven organische stof toewijzen aan een organische stofklasse </w:t>
              <w:br/>
              <w:t xml:space="preserve"/>
              <w:br/>
              <w:t xml:space="preserve">de systematische naam en de formule schrijven van de hiernaast genoemde triviale namen</w:t>
              <w:br/>
              <w:t xml:space="preserve"/>
              <w:br/>
              <w:t xml:space="preserve">het kookpunt, smeltpunt en de oplosbaarheid van de hiernaast genoemde stoffen in verband brengen met de moleculaire structuur (intermoleculaire krachten en polariteit) </w:t>
              <w:br/>
              <w:t xml:space="preserve"/>
              <w:br/>
              <w:t xml:space="preserve">één maatschappelijke toepassing geven van de hiernaast genoemde organische stoffen </w:t>
              <w:br/>
              <w:t xml:space="preserve"/>
              <w:br/>
              <w:t xml:space="preserve">de veiligheidsaspecten van deze stoffen evalueren aan de hand van veiligheidspictogrammen en veiligheidszinnen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voorstelling van organische moleculen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molecuulformule schrijven en de (verkorte)structuurformule tekenen van organische moleculen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isomerie:</w:t>
            </w:r>
          </w:p>
          <w:p>
            <w:pPr>
              <w:pStyle w:val="ListParagraph"/>
              <w:numPr>
                <w:ilvl w:val="0"/>
                <w:numId w:val="13"/>
              </w:numPr>
            </w:pPr>
            <w:r>
              <w:rPr/>
              <w:t xml:space="preserve">keten-isomeren</w:t>
            </w:r>
          </w:p>
          <w:p>
            <w:pPr>
              <w:pStyle w:val="ListParagraph"/>
              <w:numPr>
                <w:ilvl w:val="0"/>
                <w:numId w:val="13"/>
              </w:numPr>
            </w:pPr>
            <w:r>
              <w:rPr/>
              <w:t xml:space="preserve">plaats-isomeren</w:t>
            </w:r>
          </w:p>
          <w:p>
            <w:pPr>
              <w:pStyle w:val="ListParagraph"/>
              <w:numPr>
                <w:ilvl w:val="0"/>
                <w:numId w:val="13"/>
              </w:numPr>
            </w:pPr>
            <w:r>
              <w:rPr/>
              <w:t xml:space="preserve">functie-isomeren</w:t>
            </w:r>
          </w:p>
          <w:p>
            <w:pPr>
              <w:pStyle w:val="ListParagraph"/>
              <w:numPr>
                <w:ilvl w:val="0"/>
                <w:numId w:val="13"/>
              </w:numPr>
            </w:pPr>
            <w:r>
              <w:rPr/>
              <w:t xml:space="preserve">cis-trans isomeren</w:t>
            </w:r>
          </w:p>
          <w:p>
            <w:pPr>
              <w:pStyle w:val="ListParagraph"/>
              <w:numPr>
                <w:ilvl w:val="0"/>
                <w:numId w:val="13"/>
              </w:numPr>
            </w:pPr>
            <w:r>
              <w:rPr/>
              <w:t xml:space="preserve">optische isomeren (spiegelbeeldisomeren)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isomerie definiëren </w:t>
              <w:br/>
              <w:t xml:space="preserve"/>
              <w:br/>
              <w:t xml:space="preserve">de hiernaast genoemde isomeren vergelijken en onderscheiden van elkaar </w:t>
              <w:br/>
              <w:t xml:space="preserve"/>
              <w:br/>
              <w:t xml:space="preserve">isomeren tekenen op basis van een gegeven molecuulformule</w:t>
              <w:br/>
              <w:t xml:space="preserve"/>
              <w:br/>
              <w:t xml:space="preserve">het verband tussen de werking,  toepassing en/of functie van geneesmiddelen, enzymen en materialen en hun optische activiteit illustreren met een voorbeeld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8.2 REACTIES IN DE ORGANISCHE CHEMIE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aard van het aanvallende deeltje:</w:t>
            </w:r>
          </w:p>
          <w:p>
            <w:pPr>
              <w:pStyle w:val="ListParagraph"/>
              <w:numPr>
                <w:ilvl w:val="0"/>
                <w:numId w:val="14"/>
              </w:numPr>
            </w:pPr>
            <w:r>
              <w:rPr/>
              <w:t xml:space="preserve">radicalair</w:t>
            </w:r>
          </w:p>
          <w:p>
            <w:pPr>
              <w:pStyle w:val="ListParagraph"/>
              <w:numPr>
                <w:ilvl w:val="0"/>
                <w:numId w:val="14"/>
              </w:numPr>
            </w:pPr>
            <w:r>
              <w:rPr/>
              <w:t xml:space="preserve">nucleofiel</w:t>
            </w:r>
          </w:p>
          <w:p>
            <w:pPr>
              <w:pStyle w:val="ListParagraph"/>
              <w:numPr>
                <w:ilvl w:val="0"/>
                <w:numId w:val="14"/>
              </w:numPr>
            </w:pPr>
            <w:r>
              <w:rPr/>
              <w:t xml:space="preserve">elektrofiel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gegeven reactie het substraat en het aanvallende deeltje aanduiden </w:t>
              <w:br/>
              <w:t xml:space="preserve"/>
              <w:br/>
              <w:t xml:space="preserve">de aard van het aanvallende deeltje afleiden uit een gegeven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reactietypes:</w:t>
            </w:r>
          </w:p>
          <w:p>
            <w:pPr>
              <w:pStyle w:val="ListParagraph"/>
              <w:numPr>
                <w:ilvl w:val="0"/>
                <w:numId w:val="15"/>
              </w:numPr>
            </w:pPr>
            <w:r>
              <w:rPr/>
              <w:t xml:space="preserve">substitutie</w:t>
            </w:r>
          </w:p>
          <w:p>
            <w:pPr>
              <w:pStyle w:val="ListParagraph"/>
              <w:numPr>
                <w:ilvl w:val="0"/>
                <w:numId w:val="15"/>
              </w:numPr>
            </w:pPr>
            <w:r>
              <w:rPr/>
              <w:t xml:space="preserve">additie</w:t>
            </w:r>
          </w:p>
          <w:p>
            <w:pPr>
              <w:pStyle w:val="ListParagraph"/>
              <w:numPr>
                <w:ilvl w:val="0"/>
                <w:numId w:val="15"/>
              </w:numPr>
            </w:pPr>
            <w:r>
              <w:rPr/>
              <w:t xml:space="preserve">eliminatie</w:t>
            </w:r>
          </w:p>
          <w:p>
            <w:pPr>
              <w:pStyle w:val="ListParagraph"/>
              <w:numPr>
                <w:ilvl w:val="0"/>
                <w:numId w:val="15"/>
              </w:numPr>
            </w:pPr>
            <w:r>
              <w:rPr/>
              <w:t xml:space="preserve">condensatie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reactietype afleiden uit een gegeven organisch reactie  </w:t>
              <w:br/>
              <w:t xml:space="preserve"> </w:t>
              <w:br/>
              <w:t xml:space="preserve">een reactie uit de organische chemie vervolledigen door gebruik te maken van het achterliggende reactietype en het syntheseschema in de bijlage: </w:t>
            </w:r>
          </w:p>
          <w:p>
            <w:pPr>
              <w:pStyle w:val="ListParagraph"/>
              <w:numPr>
                <w:ilvl w:val="0"/>
                <w:numId w:val="16"/>
              </w:numPr>
            </w:pPr>
            <w:r>
              <w:rPr/>
              <w:t xml:space="preserve">de radicalaire substitutie tussen een alkaan en een dihalogeen  </w:t>
            </w:r>
          </w:p>
          <w:p>
            <w:pPr>
              <w:pStyle w:val="ListParagraph"/>
              <w:numPr>
                <w:ilvl w:val="0"/>
                <w:numId w:val="16"/>
              </w:numPr>
            </w:pPr>
            <w:r>
              <w:rPr/>
              <w:t xml:space="preserve">elektrofiele additiereactie van een alkeen of een alkyn met een dihalogeen, een waterstofhalogenide of water vervolledigen en de regel van Markownikov toepassen waar nodig </w:t>
            </w:r>
          </w:p>
          <w:p>
            <w:pPr>
              <w:pStyle w:val="ListParagraph"/>
              <w:numPr>
                <w:ilvl w:val="0"/>
                <w:numId w:val="16"/>
              </w:numPr>
            </w:pPr>
            <w:r>
              <w:rPr/>
              <w:t xml:space="preserve">nucleofiele additiereactie van een aldehyde of keton met diwaterstof </w:t>
            </w:r>
          </w:p>
          <w:p>
            <w:pPr>
              <w:pStyle w:val="ListParagraph"/>
              <w:numPr>
                <w:ilvl w:val="0"/>
                <w:numId w:val="16"/>
              </w:numPr>
            </w:pPr>
            <w:r>
              <w:rPr/>
              <w:t xml:space="preserve">nucleofiele substitutiereactie vervolledigen (halogeenalkaan met water, halogeenalkaan met een alcohol, halogeenalkaan met een amine, halogeenalkaan met een carbonzuur, alcohol met een waterstofhalogenide, alcohol met een alcohol, carbonzuur met een alcohol, carbonzuur met een amine) </w:t>
            </w:r>
          </w:p>
          <w:p>
            <w:pPr>
              <w:pStyle w:val="ListParagraph"/>
              <w:numPr>
                <w:ilvl w:val="0"/>
                <w:numId w:val="16"/>
              </w:numPr>
            </w:pPr>
            <w:r>
              <w:rPr/>
              <w:t xml:space="preserve">dehydratatie en dehydrogenatiereacties bij alcoholen vervolledigen </w:t>
            </w:r>
          </w:p>
          <w:p>
            <w:pPr>
              <w:pStyle w:val="ListParagraph"/>
              <w:numPr>
                <w:ilvl w:val="0"/>
                <w:numId w:val="16"/>
              </w:numPr>
            </w:pPr>
            <w:r>
              <w:rPr/>
              <w:t xml:space="preserve">elektrofiele substitutie van benzeen met een dihalogeen aanvullen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radicalaire substitutie bij alkanen</w:t>
              <w:br/>
              <w:t xml:space="preserve"/>
              <w:br/>
              <w:t xml:space="preserve">reactiemechanisme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UV-straling in radicalaire reacties verklaren </w:t>
              <w:br/>
              <w:t xml:space="preserve"/>
              <w:br/>
              <w:t xml:space="preserve">de radicalaire reactie tussen een alkaan en een dihalogeen met een reactiemechanisme voorstellen en hierin de initiatie, propagatie en terminatie aanduiden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additie bij alkenen en alkynen </w:t>
              <w:br/>
              <w:t xml:space="preserve"> </w:t>
              <w:br/>
              <w:t xml:space="preserve">inductief effect (+I en –I)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inductief effect beschrijven </w:t>
              <w:br/>
              <w:t xml:space="preserve"> </w:t>
              <w:br/>
              <w:t xml:space="preserve">de partiële lading van een atoom afleiden met behulp van het inductief effect in een gegeven molecule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primaire, secundaire en tertiaire alcoholen</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primaire, secundaire en tertiaire alcoholen onderscheiden van elkaar en de formules/namen ervan schrijven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elektrofiele substitutie van benzeen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eigenschappen van benzeen verklaren aan de hand van de gedelokaliseerde elektronen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8.3 KUNSTSTOFFEN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kunststoffen: </w:t>
              <w:br/>
              <w:t xml:space="preserve"/>
              <w:br/>
              <w:t xml:space="preserve"/>
            </w:r>
          </w:p>
          <w:p>
            <w:pPr>
              <w:pStyle w:val="ListParagraph"/>
              <w:numPr>
                <w:ilvl w:val="0"/>
                <w:numId w:val="18"/>
              </w:numPr>
            </w:pPr>
            <w:r>
              <w:rPr/>
              <w:t xml:space="preserve">PVC </w:t>
            </w:r>
          </w:p>
          <w:p>
            <w:pPr>
              <w:pStyle w:val="ListParagraph"/>
              <w:numPr>
                <w:ilvl w:val="0"/>
                <w:numId w:val="18"/>
              </w:numPr>
            </w:pPr>
            <w:r>
              <w:rPr/>
              <w:t xml:space="preserve">PE </w:t>
            </w:r>
          </w:p>
          <w:p>
            <w:pPr>
              <w:pStyle w:val="ListParagraph"/>
              <w:numPr>
                <w:ilvl w:val="0"/>
                <w:numId w:val="18"/>
              </w:numPr>
            </w:pPr>
            <w:r>
              <w:rPr/>
              <w:t xml:space="preserve">PTFE </w:t>
            </w:r>
          </w:p>
          <w:p>
            <w:pPr>
              <w:pStyle w:val="ListParagraph"/>
              <w:numPr>
                <w:ilvl w:val="0"/>
                <w:numId w:val="18"/>
              </w:numPr>
            </w:pPr>
            <w:r>
              <w:rPr/>
              <w:t xml:space="preserve">rubber </w:t>
            </w:r>
          </w:p>
          <w:p>
            <w:pPr>
              <w:pStyle w:val="ListParagraph"/>
              <w:numPr>
                <w:ilvl w:val="0"/>
                <w:numId w:val="18"/>
              </w:numPr>
            </w:pPr>
            <w:r>
              <w:rPr/>
              <w:t xml:space="preserve">bakeliet </w:t>
            </w:r>
          </w:p>
          <w:p>
            <w:pPr>
              <w:pStyle w:val="ListParagraph"/>
              <w:numPr>
                <w:ilvl w:val="0"/>
                <w:numId w:val="18"/>
              </w:numPr>
            </w:pPr>
            <w:r>
              <w:rPr/>
              <w:t xml:space="preserve">nylon </w:t>
            </w:r>
          </w:p>
          <w:p>
            <w:r>
              <w:rPr/>
              <w:t xml:space="preserve"> </w:t>
              <w:br/>
              <w:t xml:space="preserve">thermische eigenschappen: </w:t>
            </w:r>
          </w:p>
          <w:p>
            <w:pPr>
              <w:pStyle w:val="ListParagraph"/>
              <w:numPr>
                <w:ilvl w:val="0"/>
                <w:numId w:val="19"/>
              </w:numPr>
            </w:pPr>
            <w:r>
              <w:rPr/>
              <w:t xml:space="preserve">elastomeer </w:t>
            </w:r>
          </w:p>
          <w:p>
            <w:pPr>
              <w:pStyle w:val="ListParagraph"/>
              <w:numPr>
                <w:ilvl w:val="0"/>
                <w:numId w:val="19"/>
              </w:numPr>
            </w:pPr>
            <w:r>
              <w:rPr/>
              <w:t xml:space="preserve">thermoplast </w:t>
            </w:r>
          </w:p>
          <w:p>
            <w:pPr>
              <w:pStyle w:val="ListParagraph"/>
              <w:numPr>
                <w:ilvl w:val="0"/>
                <w:numId w:val="19"/>
              </w:numPr>
            </w:pPr>
            <w:r>
              <w:rPr/>
              <w:t xml:space="preserve">thermoharder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formule van het monomeer of de monomeren van de hiernaast gegeven kunststoffen schrijven of herkennen</w:t>
              <w:br/>
              <w:t xml:space="preserve"/>
              <w:br/>
              <w:t xml:space="preserve">de formule van het monomeer of de monomeren uit de gegeven structuurformule van een kunststof afleiden. </w:t>
              <w:br/>
              <w:t xml:space="preserve"/>
              <w:br/>
              <w:t xml:space="preserve"> </w:t>
              <w:br/>
              <w:t xml:space="preserve">één toepassing geven van elk van de hiernaast gegeven kunststoffen </w:t>
              <w:br/>
              <w:t xml:space="preserve"> </w:t>
              <w:br/>
              <w:t xml:space="preserve">de hiernaast genoemde thermische eigenschappen van kunststoffen in verband brengen met hun moleculaire structuur en syntheseweg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radicalaire polymerisatie, polyadditie, polycondensatie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reactietype afleiden uit een gegeven organische reactie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b/>
              </w:rPr>
              <w:t xml:space="preserve">CONTEXT</w:t>
            </w:r>
            <w:r>
              <w:rPr/>
              <w:t xml:space="preserve">: plastics en het milieu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gepresenteerde informatie een onderbouwd standpunt formuleren op gerichte vragen of stellingen in verband met de plastics en het milieu (zoals de problematiek rond microplastics, weekmakers in plastics, de ontwikkeling van bio-afbreekbare kunststoffen)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9 ONDERZOEKSOPDRACHT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de wetenschappelijke vakken moet een onderzoeksopdracht worden uitgevoerd. Deze opdracht wordt voor elk examen aan één wetenschapsvak gekoppeld (aardrijkskunde, biologie, chemie of fysica). Voor de geldigheidsduur van deze vakfiche is de opdracht gekoppeld aan het vak biologie. Voor de vakken chemie, fysica en aardrijkskunde hoeft op dit moment geen onderzoeksopdracht te worden uitgevoerd.</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je oriënteren op een onderzoeksprobleem door gericht informatie</w:t>
            </w:r>
          </w:p>
          <w:p>
            <w:pPr>
              <w:pStyle w:val="ListParagraph"/>
              <w:numPr>
                <w:ilvl w:val="0"/>
                <w:numId w:val="20"/>
              </w:numPr>
            </w:pPr>
            <w:r>
              <w:rPr/>
              <w:t xml:space="preserve">te verzamelen</w:t>
            </w:r>
          </w:p>
          <w:p>
            <w:pPr>
              <w:pStyle w:val="ListParagraph"/>
              <w:numPr>
                <w:ilvl w:val="0"/>
                <w:numId w:val="20"/>
              </w:numPr>
            </w:pPr>
            <w:r>
              <w:rPr/>
              <w:t xml:space="preserve">te ordenen</w:t>
            </w:r>
          </w:p>
          <w:p>
            <w:pPr>
              <w:pStyle w:val="ListParagraph"/>
              <w:numPr>
                <w:ilvl w:val="0"/>
                <w:numId w:val="20"/>
              </w:numPr>
            </w:pPr>
            <w:r>
              <w:rPr/>
              <w:t xml:space="preserve">te bewerken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informatie uit een wetenschappelijke bron</w:t>
            </w:r>
          </w:p>
          <w:p>
            <w:pPr>
              <w:pStyle w:val="ListParagraph"/>
              <w:numPr>
                <w:ilvl w:val="0"/>
                <w:numId w:val="21"/>
              </w:numPr>
            </w:pPr>
            <w:r>
              <w:rPr/>
              <w:t xml:space="preserve">opzoeken</w:t>
            </w:r>
          </w:p>
          <w:p>
            <w:pPr>
              <w:pStyle w:val="ListParagraph"/>
              <w:numPr>
                <w:ilvl w:val="0"/>
                <w:numId w:val="21"/>
              </w:numPr>
            </w:pPr>
            <w:r>
              <w:rPr/>
              <w:t xml:space="preserve">raadplegen</w:t>
            </w:r>
          </w:p>
          <w:p>
            <w:pPr>
              <w:pStyle w:val="ListParagraph"/>
              <w:numPr>
                <w:ilvl w:val="0"/>
                <w:numId w:val="21"/>
              </w:numPr>
            </w:pPr>
            <w:r>
              <w:rPr/>
              <w:t xml:space="preserve">rangschikken</w:t>
            </w:r>
          </w:p>
          <w:p>
            <w:pPr>
              <w:pStyle w:val="ListParagraph"/>
              <w:numPr>
                <w:ilvl w:val="0"/>
                <w:numId w:val="21"/>
              </w:numPr>
            </w:pPr>
            <w:r>
              <w:rPr/>
              <w:t xml:space="preserve">evalueren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een onderzoeksopdracht in verband met het studiedomein</w:t>
            </w:r>
          </w:p>
          <w:p>
            <w:pPr>
              <w:pStyle w:val="ListParagraph"/>
              <w:numPr>
                <w:ilvl w:val="0"/>
                <w:numId w:val="23"/>
              </w:numPr>
            </w:pPr>
            <w:r>
              <w:rPr/>
              <w:t xml:space="preserve">voorbereiden</w:t>
            </w:r>
          </w:p>
          <w:p>
            <w:pPr>
              <w:pStyle w:val="ListParagraph"/>
              <w:numPr>
                <w:ilvl w:val="0"/>
                <w:numId w:val="23"/>
              </w:numPr>
            </w:pPr>
            <w:r>
              <w:rPr/>
              <w:t xml:space="preserve">uitvoeren</w:t>
            </w:r>
          </w:p>
          <w:p>
            <w:pPr>
              <w:pStyle w:val="ListParagraph"/>
              <w:numPr>
                <w:ilvl w:val="0"/>
                <w:numId w:val="23"/>
              </w:numPr>
            </w:pPr>
            <w:r>
              <w:rPr/>
              <w:t xml:space="preserve">evalueren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onderwerp verkennen</w:t>
              <w:br/>
              <w:t xml:space="preserve"/>
              <w:br/>
              <w:t xml:space="preserve">een hoofdvraag (of probleemstelling) en deelvraag of deelvragen formuleren</w:t>
              <w:br/>
              <w:t xml:space="preserve"/>
              <w:br/>
              <w:t xml:space="preserve">een werkplan met onderzoeks- en tijdsplan opmaken</w:t>
              <w:br/>
              <w:t xml:space="preserve"/>
              <w:br/>
              <w:t xml:space="preserve">een werkplan uitvoeren:</w:t>
              <w:br/>
              <w:t xml:space="preserve"/>
              <w:br/>
              <w:t xml:space="preserve"/>
            </w:r>
          </w:p>
          <w:p>
            <w:pPr>
              <w:pStyle w:val="ListParagraph"/>
              <w:numPr>
                <w:ilvl w:val="0"/>
                <w:numId w:val="24"/>
              </w:numPr>
            </w:pPr>
            <w:r>
              <w:rPr/>
              <w:t xml:space="preserve">informatie verzamelen in functie van de deelvraag en op basis van verschillende informatiebronnen (bv. literatuur, documenten, databestanden via deskresearch, enquête, interview, waarneming of observatie, (labo)experiment, waarneming, media);</w:t>
            </w:r>
          </w:p>
          <w:p>
            <w:pPr>
              <w:pStyle w:val="ListParagraph"/>
              <w:numPr>
                <w:ilvl w:val="0"/>
                <w:numId w:val="24"/>
              </w:numPr>
            </w:pPr>
            <w:r>
              <w:rPr/>
              <w:t xml:space="preserve">informatie beoordelen en verwerken en daaruit een conclusie trekken;</w:t>
            </w:r>
          </w:p>
          <w:p>
            <w:r>
              <w:rPr/>
              <w:t xml:space="preserve">een conclusie of de onderzoeksresultaten rapporteren door een intellectueel eerlijk, gestructureerd en foutloos onderzoeksverslag met korte samenvatting te schrijven volgens de vastgelegde structuur</w:t>
              <w:br/>
              <w:t xml:space="preserve"/>
              <w:br/>
              <w:t xml:space="preserve">een correcte bronvermelding opstellen volgens de regels van de bronvermelding</w:t>
              <w:br/>
              <w:t xml:space="preserve"/>
              <w:br/>
              <w:t xml:space="preserve">je onderzoek evalueren en over je eigen werk en de aanpak van de onderzoeksopdracht reflecteren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onderzoeksresultaten en conclusies rapporteren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onderzoeksverslag opstellen volgens de vastgelegde structuur: titelpagina, voorwoord, inhoudsopgave, samenvatting, inleiding, kerntekst, conclusie, bronnenlijst en bijlage(n)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b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formularium 2022.pdf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Voor chemie 3aso - alle wetenschappelijke richtingen - zijn de examens digitaal met een schriftelijke component vanaf januari 2018. Om je wetenschappelijke vaardigheden te testen, zal je naast de digitale vragen ook een aantal vragen op papier moeten uitwerken. Hierbij kan het bijvoorbeeld gaan om het schematisch voorstellen van structuren, mechanismen, chemische informatie, onderzoeksgegevens en wetenschappelijke notatie.</w:t>
      </w:r>
    </w:p>
    <w:p>
      <w:pPr>
        <w:jc w:val="both"/>
      </w:pPr>
      <w:r>
        <w:t xml:space="preserve"/>
      </w:r>
    </w:p>
    <w:p>
      <w:pPr>
        <w:jc w:val="both"/>
      </w:pPr>
      <w:r>
        <w:t xml:space="preserve">Vraag je je af hoe een digitaal examen verloopt? De uitleg over onze digitale examens, de instructies en heel wat voorbeeldvragen vind je op:</w:t>
      </w:r>
    </w:p>
    <w:p>
      <w:pPr>
        <w:jc w:val="both"/>
      </w:pPr>
      <w:r>
        <w:t xml:space="preserve"/>
      </w:r>
    </w:p>
    <w:p>
      <w:pPr>
        <w:jc w:val="both"/>
      </w:pPr>
      <w:r>
        <w:t xml:space="preserve">http://examencommissiesecundaironderwijs.be/examens</w:t>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je identiteitskaart</w:t>
      </w:r>
    </w:p>
    <w:p>
      <w:pPr>
        <w:jc w:val="both"/>
      </w:pPr>
      <w:r>
        <w:t xml:space="preserve">- blauwe of zwarte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het formularium dat je vindt als bijlage</w:t>
      </w:r>
    </w:p>
    <w:p>
      <w:pPr>
        <w:jc w:val="both"/>
      </w:pPr>
      <w:r>
        <w:t xml:space="preserve"/>
      </w:r>
    </w:p>
    <w:p>
      <w:pPr>
        <w:jc w:val="both"/>
      </w:pPr>
      <w:r>
        <w:t xml:space="preserve">Tijdens het examen stellen we, naast een eenvoudige rekenmachine, ook 4 GeoGebra apps ter beschikking:</w:t>
      </w:r>
    </w:p>
    <w:p>
      <w:pPr>
        <w:jc w:val="both"/>
      </w:pPr>
      <w:r>
        <w:t xml:space="preserve"/>
      </w:r>
    </w:p>
    <w:p>
      <w:pPr>
        <w:jc w:val="both"/>
      </w:pPr>
      <w:r>
        <w:t xml:space="preserve">- wetenschappelijke rekenmachine: https://www.geogebra.org/calculator</w:t>
      </w:r>
    </w:p>
    <w:p>
      <w:pPr>
        <w:jc w:val="both"/>
      </w:pPr>
      <w:r>
        <w:t xml:space="preserve">- grafische rekenmachine: https://examencommissiesecundaironderwijs.be/rekenapps</w:t>
      </w:r>
    </w:p>
    <w:p>
      <w:pPr>
        <w:jc w:val="both"/>
      </w:pPr>
      <w:r>
        <w:t xml:space="preserve">- rekenblad: https://examencommissiesecundaironderwijs.be/rekenapps</w:t>
      </w:r>
    </w:p>
    <w:p>
      <w:pPr>
        <w:jc w:val="both"/>
      </w:pPr>
      <w:r>
        <w:t xml:space="preserve">- statistiek en matrices: https://examencommissiesecundaironderwijs.be/rekenapps</w:t>
      </w:r>
    </w:p>
    <w:p>
      <w:pPr>
        <w:jc w:val="both"/>
      </w:pPr>
      <w:r>
        <w:t xml:space="preserve"/>
      </w:r>
    </w:p>
    <w:p>
      <w:pPr>
        <w:jc w:val="both"/>
      </w:pPr>
      <w:r>
        <w:t xml:space="preserve">Je kan er thuis op voorhand vrij mee oefenen. Gebruik deze handleiding: https://wiki.geogebra.org/nl/Handleiding.</w:t>
      </w:r>
    </w:p>
    <w:p>
      <w:pPr>
        <w:jc w:val="both"/>
      </w:pPr>
      <w:r>
        <w:t xml:space="preserve">Neem zeker een kijkje in de lijst van beschikbare commando’s in GeoGebra: https://wiki.geogebra.org/nl/Categorie:Commando%27s.</w:t>
      </w:r>
    </w:p>
    <w:p>
      <w:pPr>
        <w:jc w:val="both"/>
      </w:pPr>
      <w:r>
        <w:t xml:space="preserve"/>
      </w:r>
    </w:p>
    <w:p>
      <w:pPr>
        <w:jc w:val="both"/>
      </w:pPr>
      <w:r>
        <w:t xml:space="preserve">Let op!</w:t>
      </w:r>
    </w:p>
    <w:p>
      <w:pPr>
        <w:jc w:val="both"/>
      </w:pPr>
      <w:r>
        <w:t xml:space="preserve">Op het examen zelf kan je de handleiding en de lijst van commando’s niet gebruiken.</w:t>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punten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Deeltjesmodel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Chemisch rekenen, thermodynamica en redoxreacties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Reactiesnelheid, chemisch evenwicht en zuur-base reacties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Organische chemie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
        <w:br/>
        <w:t xml:space="preserve">Hieronder staan enkele handboeken die vaak gebruikt worden in het secundair onderwijs. Ga altijd na of alle leerinhouden uit deze vakfiche in de gekozen leermiddelen aan bod komen. Sommige leermiddelen bevatten meer inhouden dan wat je moet kennen, andere bevatten niet alle inhouden.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Ion</w:t>
              <w:br/>
              <w:t xml:space="preserve"/>
              <w:br/>
              <w:t xml:space="preserve">Bruggemans, K. en Herzog, Y. Fundamentele begrippen van algemene chemie</w:t>
              <w:br/>
              <w:t xml:space="preserve"/>
              <w:br/>
              <w:t xml:space="preserve">Bruggemans, K. en Herzog, Y. Organische chemie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www.essenscia.be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voor chemie in verband met duurzame ontwikkeling, energie, klimaat, veiligheid, milieu en jobs in de chemie.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www.vonw.be/chemie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Vlaamse Chemie Olympiade. Vragen van voorgaande edities van deze olympiade met antwoordsleutel.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www.mijnscheikunde.nl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Theorie, oefentoetsen en examens over chemie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https://www.keu6.be/geneeskunde_chemie.html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met zowel uitleg als oefeningen als voorbereiding voor de toelatingsproef: heel veel leerstof komt overeen met de te kennen leerstof voor chemie. </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https://kvcv.be/images/documenten/onderwijs/Organische%20nomenclatuur.pdf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Hier vind je uitleg over de regels van IUPAC naamgeving voor organische moleculen. </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