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br/>
        <w:t xml:space="preserve"/>
        <w:b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br/>
        <w:t xml:space="preserve"/>
        <w:b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br/>
        <w:t xml:space="preserve"/>
        <w:b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herkennen en benoemen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van een molecule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aan de hand van een gegeven lewisstructuur </w:t>
              <w:br/>
              <w:t xml:space="preserve"/>
              <w:br/>
              <w:t xml:space="preserve">het verschil tussen de theoretische en werkelijke bindingshoek verklaren (bijvoorbeeld voor water is de theoretische hoek 109° maar in werkelijkheid is de hoek kleiner)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
              <w:br/>
              <w:t xml:space="preserve">het energiediagram beschrijven, interpreteren en toelichten voor een endo- en exo-energetische reactie, al dan niet in aanwezigheid van een katalysator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herkennen en beschrijven tussen een aflopende reactie en een evenwichtsreactie en toepassen in gegeven voorbeelden</w:t>
              <w:br/>
              <w:t xml:space="preserve"/>
              <w:br/>
              <w:t xml:space="preserve">het begrip dynamisch evenwicht toepassen in gegeven voorbeelden</w:t>
              <w:br/>
              <w:t xml:space="preserve"/>
              <w:br/>
              <w:t xml:space="preserve">de evolutie van een chemisch evenwicht grafisch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het chemisch evenwicht beïnvloeden: </w:t>
            </w:r>
          </w:p>
          <w:p>
            <w:pPr>
              <w:pStyle w:val="ListParagraph"/>
              <w:numPr>
                <w:ilvl w:val="0"/>
                <w:numId w:val="10"/>
              </w:numPr>
            </w:pPr>
            <w:r>
              <w:rPr/>
              <w:t xml:space="preserve">concentratieverandering van één van de stoffen  </w:t>
            </w:r>
          </w:p>
          <w:p>
            <w:pPr>
              <w:pStyle w:val="ListParagraph"/>
              <w:numPr>
                <w:ilvl w:val="0"/>
                <w:numId w:val="10"/>
              </w:numPr>
            </w:pPr>
            <w:r>
              <w:rPr/>
              <w:t xml:space="preserve">concentratieverandering van alle stoffen </w:t>
            </w:r>
          </w:p>
          <w:p>
            <w:pPr>
              <w:pStyle w:val="ListParagraph"/>
              <w:numPr>
                <w:ilvl w:val="0"/>
                <w:numId w:val="10"/>
              </w:numPr>
            </w:pPr>
            <w:r>
              <w:rPr/>
              <w:t xml:space="preserve">katalysator </w:t>
            </w:r>
          </w:p>
          <w:p>
            <w:pPr>
              <w:pStyle w:val="ListParagraph"/>
              <w:numPr>
                <w:ilvl w:val="0"/>
                <w:numId w:val="10"/>
              </w:numPr>
            </w:pPr>
            <w:r>
              <w:rPr/>
              <w:t xml:space="preserve">temperatuurverandering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t>
              <w:br/>
              <w:t xml:space="preserve">de invloed van deze factoren op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br/>
              <w:t xml:space="preserve"/>
              <w:br/>
              <w:t xml:space="preserve">een protolysereactie tussen een zuur en een base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t>
              <w:br/>
              <w:t xml:space="preserve">het begrip pH definiëren  </w:t>
              <w:br/>
              <w:t xml:space="preserve"> </w:t>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t>
              <w:br/>
              <w:t xml:space="preserve">de zuurconstante (K</w:t>
            </w:r>
            <w:r>
              <w:rPr>
                <w:vertAlign w:val="subscript"/>
              </w:rPr>
              <w:t xml:space="preserve">z</w:t>
            </w:r>
            <w:r>
              <w:rPr/>
              <w:t xml:space="preserve">) en de baseconstante (K</w:t>
            </w:r>
            <w:r>
              <w:rPr>
                <w:vertAlign w:val="subscript"/>
              </w:rPr>
              <w:t xml:space="preserve">b</w:t>
            </w:r>
            <w:r>
              <w:rPr/>
              <w:t xml:space="preserve">) schrijven  </w:t>
              <w:br/>
              <w:t xml:space="preserve"> </w:t>
              <w:br/>
              <w:t xml:space="preserve">het verband leggen tussen zuur-base constanten en de sterkte van zuren en basen  </w:t>
              <w:br/>
              <w:t xml:space="preserve"> </w:t>
              <w:br/>
              <w:t xml:space="preserve">de K</w:t>
            </w:r>
            <w:r>
              <w:rPr>
                <w:vertAlign w:val="subscript"/>
              </w:rPr>
              <w:t xml:space="preserve">z</w:t>
            </w:r>
            <w:r>
              <w:rPr/>
              <w:t xml:space="preserve">, pK</w:t>
            </w:r>
            <w:r>
              <w:rPr>
                <w:vertAlign w:val="subscript"/>
              </w:rPr>
              <w:t xml:space="preserve">z</w:t>
            </w:r>
            <w:r>
              <w:rPr/>
              <w:t xml:space="preserve">, K</w:t>
            </w:r>
            <w:r>
              <w:rPr>
                <w:vertAlign w:val="subscript"/>
              </w:rPr>
              <w:t xml:space="preserve">b</w:t>
            </w:r>
            <w:r>
              <w:rPr/>
              <w:t xml:space="preserve"> en pK</w:t>
            </w:r>
            <w:r>
              <w:rPr>
                <w:vertAlign w:val="subscript"/>
              </w:rPr>
              <w:t xml:space="preserve">b</w:t>
            </w:r>
            <w:r>
              <w:rPr/>
              <w:t xml:space="preserve"> berekenen en in verband brengen met elkaar </w:t>
              <w:br/>
              <w:t xml:space="preserve"> </w:t>
              <w:br/>
              <w:t xml:space="preserve">de pH van sterke en zwakke zuren en basen berekenen met behulp van de tabel met zuur-base constanten in de bijlage.  </w:t>
              <w:br/>
              <w:t xml:space="preserve"> </w:t>
              <w:br/>
              <w:t xml:space="preserve">de pH van zouten kwalitatief voorspellen en verklaren.  </w:t>
              <w:br/>
              <w:t xml:space="preserve"> </w:t>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buffermengsel definiëren en herkennen.  </w:t>
              <w:br/>
              <w:t xml:space="preserve"/>
              <w:br/>
              <w:t xml:space="preserve">het belang van buffermengsel met een voorbeeld illustreren  </w:t>
              <w:br/>
              <w:t xml:space="preserve"> </w:t>
              <w:br/>
              <w:t xml:space="preserve">de werking van een buffermengsel verklaren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t>
              <w:br/>
              <w:t xml:space="preserve">een reactie uit de organische chemie vervolledigen door gebruik te maken van het achterliggende reactietype en het syntheseschema in de bijlage: </w:t>
            </w:r>
          </w:p>
          <w:p>
            <w:pPr>
              <w:pStyle w:val="ListParagraph"/>
              <w:numPr>
                <w:ilvl w:val="0"/>
                <w:numId w:val="16"/>
              </w:numPr>
            </w:pPr>
            <w:r>
              <w:rPr/>
              <w:t xml:space="preserve">de radicalaire substitutie tussen een alkaan en een dihalogeen  </w:t>
            </w:r>
          </w:p>
          <w:p>
            <w:pPr>
              <w:pStyle w:val="ListParagraph"/>
              <w:numPr>
                <w:ilvl w:val="0"/>
                <w:numId w:val="16"/>
              </w:numPr>
            </w:pPr>
            <w:r>
              <w:rPr/>
              <w:t xml:space="preserve">elektrofiele additiereactie van een alkeen of een alkyn met een dihalogeen, een waterstofhalogenide of water vervolledigen en de regel van Markownikov toepassen waar nodig </w:t>
            </w:r>
          </w:p>
          <w:p>
            <w:pPr>
              <w:pStyle w:val="ListParagraph"/>
              <w:numPr>
                <w:ilvl w:val="0"/>
                <w:numId w:val="16"/>
              </w:numPr>
            </w:pPr>
            <w:r>
              <w:rPr/>
              <w:t xml:space="preserve">nucleofiele additiereactie van een aldehyde of keton met diwaterstof </w:t>
            </w:r>
          </w:p>
          <w:p>
            <w:pPr>
              <w:pStyle w:val="ListParagraph"/>
              <w:numPr>
                <w:ilvl w:val="0"/>
                <w:numId w:val="16"/>
              </w:numPr>
            </w:pPr>
            <w:r>
              <w:rPr/>
              <w:t xml:space="preserve">nucleofiele substitutiereactie vervolledigen (halogeenalkaan met water, halogeenalkaan met een alcohol, halogeenalkaan met een amine, halogeenalkaan met een carbonzuur, alcohol met een waterstofhalogenide, alcohol met een alcohol, carbonzuur met een alcohol, carbonzuur met een amine) </w:t>
            </w:r>
          </w:p>
          <w:p>
            <w:pPr>
              <w:pStyle w:val="ListParagraph"/>
              <w:numPr>
                <w:ilvl w:val="0"/>
                <w:numId w:val="16"/>
              </w:numPr>
            </w:pPr>
            <w:r>
              <w:rPr/>
              <w:t xml:space="preserve">dehydratatie en dehydrogenatiereacties bij alcoholen vervolledigen </w:t>
            </w:r>
          </w:p>
          <w:p>
            <w:pPr>
              <w:pStyle w:val="ListParagraph"/>
              <w:numPr>
                <w:ilvl w:val="0"/>
                <w:numId w:val="16"/>
              </w:numPr>
            </w:pPr>
            <w:r>
              <w:rPr/>
              <w:t xml:space="preserve">elektrofiele substitutie van benzeen met een dihalogeen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 en alkynen </w:t>
              <w:br/>
              <w:t xml:space="preserve"> </w:t>
              <w:br/>
              <w:t xml:space="preserve">inductief effect (+I en –I)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 </w:t>
              <w:br/>
              <w:t xml:space="preserve"> </w:t>
              <w:br/>
              <w:t xml:space="preserve">de partiële lading van een atoom afleiden met behulp van het inductief effect in een gegeven molecule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en de formules/namen ervan 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 </w:t>
              <w:br/>
              <w:t xml:space="preserve"/>
              <w:br/>
              <w:t xml:space="preserve"/>
            </w:r>
          </w:p>
          <w:p>
            <w:pPr>
              <w:pStyle w:val="ListParagraph"/>
              <w:numPr>
                <w:ilvl w:val="0"/>
                <w:numId w:val="18"/>
              </w:numPr>
            </w:pPr>
            <w:r>
              <w:rPr/>
              <w:t xml:space="preserve">PVC </w:t>
            </w:r>
          </w:p>
          <w:p>
            <w:pPr>
              <w:pStyle w:val="ListParagraph"/>
              <w:numPr>
                <w:ilvl w:val="0"/>
                <w:numId w:val="18"/>
              </w:numPr>
            </w:pPr>
            <w:r>
              <w:rPr/>
              <w:t xml:space="preserve">PE </w:t>
            </w:r>
          </w:p>
          <w:p>
            <w:pPr>
              <w:pStyle w:val="ListParagraph"/>
              <w:numPr>
                <w:ilvl w:val="0"/>
                <w:numId w:val="18"/>
              </w:numPr>
            </w:pPr>
            <w:r>
              <w:rPr/>
              <w:t xml:space="preserve">PTFE </w:t>
            </w:r>
          </w:p>
          <w:p>
            <w:pPr>
              <w:pStyle w:val="ListParagraph"/>
              <w:numPr>
                <w:ilvl w:val="0"/>
                <w:numId w:val="18"/>
              </w:numPr>
            </w:pPr>
            <w:r>
              <w:rPr/>
              <w:t xml:space="preserve">rubber </w:t>
            </w:r>
          </w:p>
          <w:p>
            <w:pPr>
              <w:pStyle w:val="ListParagraph"/>
              <w:numPr>
                <w:ilvl w:val="0"/>
                <w:numId w:val="18"/>
              </w:numPr>
            </w:pPr>
            <w:r>
              <w:rPr/>
              <w:t xml:space="preserve">bakeliet </w:t>
            </w:r>
          </w:p>
          <w:p>
            <w:pPr>
              <w:pStyle w:val="ListParagraph"/>
              <w:numPr>
                <w:ilvl w:val="0"/>
                <w:numId w:val="18"/>
              </w:numPr>
            </w:pPr>
            <w:r>
              <w:rPr/>
              <w:t xml:space="preserve">nylon </w:t>
            </w:r>
          </w:p>
          <w:p>
            <w:r>
              <w:rPr/>
              <w:t xml:space="preserve"> </w:t>
              <w:br/>
              <w:t xml:space="preserve">thermische eigenschappen: </w:t>
            </w:r>
          </w:p>
          <w:p>
            <w:pPr>
              <w:pStyle w:val="ListParagraph"/>
              <w:numPr>
                <w:ilvl w:val="0"/>
                <w:numId w:val="19"/>
              </w:numPr>
            </w:pPr>
            <w:r>
              <w:rPr/>
              <w:t xml:space="preserve">elastomeer </w:t>
            </w:r>
          </w:p>
          <w:p>
            <w:pPr>
              <w:pStyle w:val="ListParagraph"/>
              <w:numPr>
                <w:ilvl w:val="0"/>
                <w:numId w:val="19"/>
              </w:numPr>
            </w:pPr>
            <w:r>
              <w:rPr/>
              <w:t xml:space="preserve">thermoplast </w:t>
            </w:r>
          </w:p>
          <w:p>
            <w:pPr>
              <w:pStyle w:val="ListParagraph"/>
              <w:numPr>
                <w:ilvl w:val="0"/>
                <w:numId w:val="19"/>
              </w:numPr>
            </w:pPr>
            <w:r>
              <w:rPr/>
              <w:t xml:space="preserve">thermoharder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van het monomeer of de monomeren van de hiernaast gegeven kunststoffen schrijven of herkennen</w:t>
              <w:br/>
              <w:t xml:space="preserve"/>
              <w:br/>
              <w:t xml:space="preserve">de formule van het monomeer of de monomeren uit de gegeven structuurformule van een kunststof afleiden. </w:t>
              <w:br/>
              <w:t xml:space="preserve"/>
              <w:br/>
              <w:t xml:space="preserve"> </w:t>
              <w:br/>
              <w:t xml:space="preserve">één toepassing geven van elk van de hiernaast gegeven kunststoffen </w:t>
              <w:br/>
              <w:t xml:space="preserve"> </w:t>
              <w:br/>
              <w:t xml:space="preserve">de hiernaast genoemde thermische eigenschappen van kunststoffen in verband brengen met hun moleculaire structuur en syntheseweg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polymerisatie, polyadditie, polycondensatie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organische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20"/>
              </w:numPr>
            </w:pPr>
            <w:r>
              <w:rPr/>
              <w:t xml:space="preserve">te verzamelen</w:t>
            </w:r>
          </w:p>
          <w:p>
            <w:pPr>
              <w:pStyle w:val="ListParagraph"/>
              <w:numPr>
                <w:ilvl w:val="0"/>
                <w:numId w:val="20"/>
              </w:numPr>
            </w:pPr>
            <w:r>
              <w:rPr/>
              <w:t xml:space="preserve">te ordenen</w:t>
            </w:r>
          </w:p>
          <w:p>
            <w:pPr>
              <w:pStyle w:val="ListParagraph"/>
              <w:numPr>
                <w:ilvl w:val="0"/>
                <w:numId w:val="20"/>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1"/>
              </w:numPr>
            </w:pPr>
            <w:r>
              <w:rPr/>
              <w:t xml:space="preserve">opzoeken</w:t>
            </w:r>
          </w:p>
          <w:p>
            <w:pPr>
              <w:pStyle w:val="ListParagraph"/>
              <w:numPr>
                <w:ilvl w:val="0"/>
                <w:numId w:val="21"/>
              </w:numPr>
            </w:pPr>
            <w:r>
              <w:rPr/>
              <w:t xml:space="preserve">raadplegen</w:t>
            </w:r>
          </w:p>
          <w:p>
            <w:pPr>
              <w:pStyle w:val="ListParagraph"/>
              <w:numPr>
                <w:ilvl w:val="0"/>
                <w:numId w:val="21"/>
              </w:numPr>
            </w:pPr>
            <w:r>
              <w:rPr/>
              <w:t xml:space="preserve">rangschikken</w:t>
            </w:r>
          </w:p>
          <w:p>
            <w:pPr>
              <w:pStyle w:val="ListParagraph"/>
              <w:numPr>
                <w:ilvl w:val="0"/>
                <w:numId w:val="21"/>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3"/>
              </w:numPr>
            </w:pPr>
            <w:r>
              <w:rPr/>
              <w:t xml:space="preserve">voorbereiden</w:t>
            </w:r>
          </w:p>
          <w:p>
            <w:pPr>
              <w:pStyle w:val="ListParagraph"/>
              <w:numPr>
                <w:ilvl w:val="0"/>
                <w:numId w:val="23"/>
              </w:numPr>
            </w:pPr>
            <w:r>
              <w:rPr/>
              <w:t xml:space="preserve">uitvoeren</w:t>
            </w:r>
          </w:p>
          <w:p>
            <w:pPr>
              <w:pStyle w:val="ListParagraph"/>
              <w:numPr>
                <w:ilvl w:val="0"/>
                <w:numId w:val="23"/>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4"/>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4"/>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2022.pdf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http://examencommissiesecundaironderwijs.be/examens</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
        <w:br/>
        <w:t xml:space="preserve">Hieronder staan enkele handboeken die vaak gebruikt worden in het secundair onderwijs. Ga altijd na of alle leerinhouden uit deze vakfiche in de gekozen leermiddelen aan bod komen. Sommige leermiddelen bevatten meer inhouden dan wat je moet kennen, andere bevatten niet alle inhouden.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veiligheid, milieu en jobs in de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https://www.keu6.be/geneeskunde_chemie.html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zowel uitleg als oefeningen als voorbereiding voor de toelatingsproef: heel veel leerstof komt overeen met de te kennen leerstof voor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https://kvcv.be/images/documenten/onderwijs/Organische%20nomenclatuur.pdf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uitleg over de regels van IUPAC naamgeving voor organische moleculen.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