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fysiologie van de beweging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2017/016 </w:t>
      </w:r>
    </w:p>
    <w:p>
      <w:pPr>
        <w:spacing w:after="160" w:line="259" w:lineRule="auto"/>
      </w:pPr>
      <w:r>
        <w:t xml:space="preserve">GO! 2017/020 </w:t>
      </w:r>
    </w:p>
    <w:p>
      <w:pPr>
        <w:spacing w:after="160" w:line="259" w:lineRule="auto"/>
      </w:pPr>
      <w:r>
        <w:t xml:space="preserve"> </w:t>
        <w:br/>
        <w:t>VVKSO Lichamelijke Opvoeding en Sport derde graad TSO D/2017/13.758/025</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Wanneer je in de afdeling 3 TSO Lichamelijke Opvoeding en Sport afstudeert, heb je heel wat mogelijkheden op de arbeidsmarkt. Je vindt werk in beroepssectoren zoals de brandweer, zwembadredder, gemeentelijke sportdiensten, fitnesscentra, trainer of hulptrainer in een specifieke sportdiscipline, ... </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Aandacht voor recreatief bewegen, (top)sport en de gezondheid in het bijzonder veronderstelt dat je inzicht hebt in de lichaamsbouw en de werking van de verschillende lichaamsfuncties. In "fysiologie van de beweging" wordt de relatie tussen enerzijds de verschillende stelsels van het lichaam en anderzijds sportbeoefening en het leveren van (zware) fysieke inspanningen behandeld.</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ADEMHALINGSSTELSEL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BLOED - EN LYMFEVATENSTELSEL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ENERGIESTOFWISSELING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LICHAAMSASSEN EN - VLAKKEN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BEENDEREN EN GEWRICHTEN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SPIERSTELSEL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ZENUWSTELSEL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HORMOONSTELSEL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ADEMHALINGSSTELSEL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gasuitwisseling ter hoogte van de longen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alveolen als functionele eenheid toelichten </w:t>
              <w:br/>
              <w:t xml:space="preserve"/>
              <w:br/>
              <w:t xml:space="preserve">uitwisseling  van O2 en CO2 ter hoogte van de alveolen en de lichaamscellen toelichten, de begrippen diffusie en partiële druk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spirometrie, de inspanningsintensiteitscurve en VO2 max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spirometrie, de inspanningsintensiteitscurve  en VO2 max definiëren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respiratoire training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respiratoire trainingseffecten op het gasuitwisselingsmechanisme toelichten, hoogtetraining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BLOED - EN LYMFEVATENSTELSEL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 -en bloedvatenstelsel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functies van het hart en het bloedvatenstelsel herkennen en benoemen, de grote en de kleine bloedsomloop onderscheiden </w:t>
              <w:br/>
              <w:t xml:space="preserve"/>
              <w:br/>
              <w:t xml:space="preserve">het mechanisme van de hartwerking beschrijven en toelichten, de begrippen systole en diastole gebruiken </w:t>
              <w:br/>
              <w:t xml:space="preserve"/>
              <w:br/>
              <w:t xml:space="preserve">het nut van de hartslagmeter toelichten en het correct gebruik illustreren bij sportbeoefening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 bloedgroepen en resusfactor, bloeddoping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het bloed toelichten: </w:t>
              <w:br/>
              <w:t xml:space="preserve"/>
              <w:br/>
              <w:t xml:space="preserve"/>
            </w:r>
          </w:p>
          <w:p>
            <w:pPr>
              <w:pStyle w:val="ListParagraph"/>
              <w:numPr>
                <w:ilvl w:val="0"/>
                <w:numId w:val="8"/>
              </w:numPr>
            </w:pPr>
            <w:r>
              <w:rPr/>
              <w:t xml:space="preserve">rode en witte bloedcellen </w:t>
            </w:r>
          </w:p>
          <w:p>
            <w:pPr>
              <w:pStyle w:val="ListParagraph"/>
              <w:numPr>
                <w:ilvl w:val="0"/>
                <w:numId w:val="8"/>
              </w:numPr>
            </w:pPr>
            <w:r>
              <w:rPr/>
              <w:t xml:space="preserve">bloedplaatjes </w:t>
            </w:r>
          </w:p>
          <w:p>
            <w:pPr>
              <w:pStyle w:val="ListParagraph"/>
              <w:numPr>
                <w:ilvl w:val="0"/>
                <w:numId w:val="8"/>
              </w:numPr>
            </w:pPr>
            <w:r>
              <w:rPr/>
              <w:t xml:space="preserve">bloedplasma </w:t>
            </w:r>
          </w:p>
          <w:p>
            <w:r>
              <w:rPr/>
              <w:t xml:space="preserve">de functie van deze componenten herkennen en benoemen  </w:t>
              <w:br/>
              <w:t xml:space="preserve"/>
              <w:br/>
              <w:t xml:space="preserve">de bloedgroepen benoemen en het belang van bloedgroepen en resusfactor illustreren, een donor/acceptor schema beoordelen </w:t>
              <w:br/>
              <w:t xml:space="preserve"/>
              <w:br/>
              <w:t xml:space="preserve">de gevaren van bloeddoping herkennen en het principe van bloeddoping toelichten gebruik makend van de begrippen epo, hematocriet, hemoglobine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bloedstolling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en verloop van de bloedstolling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de bloeddruk en bloeddrukmeting benoemen en toelichten gebruik makend van de begrippen systolische en diastolische druk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lymfevatenstelsel en de lymfeklieren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lymfevatenstelsel toelichten </w:t>
              <w:br/>
              <w:t xml:space="preserve"/>
              <w:br/>
              <w:t xml:space="preserve">de functie van het lymfevatenstelsel toelichten: </w:t>
            </w:r>
          </w:p>
          <w:p>
            <w:pPr>
              <w:pStyle w:val="ListParagraph"/>
              <w:numPr>
                <w:ilvl w:val="0"/>
                <w:numId w:val="9"/>
              </w:numPr>
            </w:pPr>
            <w:r>
              <w:rPr/>
              <w:t xml:space="preserve">drainage </w:t>
            </w:r>
          </w:p>
          <w:p>
            <w:pPr>
              <w:pStyle w:val="ListParagraph"/>
              <w:numPr>
                <w:ilvl w:val="0"/>
                <w:numId w:val="9"/>
              </w:numPr>
            </w:pPr>
            <w:r>
              <w:rPr/>
              <w:t xml:space="preserve">afweer </w:t>
            </w:r>
          </w:p>
          <w:p>
            <w:pPr>
              <w:pStyle w:val="ListParagraph"/>
              <w:numPr>
                <w:ilvl w:val="0"/>
                <w:numId w:val="9"/>
              </w:numPr>
            </w:pPr>
            <w:r>
              <w:rPr/>
              <w:t xml:space="preserve">verwerking lipiden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aanpassingen van het hart -en bloedvatenstelsel bij inspanning en training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aanpassingen van het bloedvatenstelsel bij inspanning en training beschrijven en toelichten: </w:t>
            </w:r>
          </w:p>
          <w:p>
            <w:pPr>
              <w:pStyle w:val="ListParagraph"/>
              <w:numPr>
                <w:ilvl w:val="0"/>
                <w:numId w:val="10"/>
              </w:numPr>
            </w:pPr>
            <w:r>
              <w:rPr/>
              <w:t xml:space="preserve">hartritme </w:t>
            </w:r>
          </w:p>
          <w:p>
            <w:pPr>
              <w:pStyle w:val="ListParagraph"/>
              <w:numPr>
                <w:ilvl w:val="0"/>
                <w:numId w:val="10"/>
              </w:numPr>
            </w:pPr>
            <w:r>
              <w:rPr/>
              <w:t xml:space="preserve">hartminuutvolume </w:t>
            </w:r>
          </w:p>
          <w:p>
            <w:pPr>
              <w:pStyle w:val="ListParagraph"/>
              <w:numPr>
                <w:ilvl w:val="0"/>
                <w:numId w:val="10"/>
              </w:numPr>
            </w:pPr>
            <w:r>
              <w:rPr/>
              <w:t xml:space="preserve">sporthart </w:t>
            </w:r>
          </w:p>
          <w:p>
            <w:pPr>
              <w:pStyle w:val="ListParagraph"/>
              <w:numPr>
                <w:ilvl w:val="0"/>
                <w:numId w:val="10"/>
              </w:numPr>
            </w:pPr>
            <w:r>
              <w:rPr/>
              <w:t xml:space="preserve">veneuze terugstroom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ENERGIESTOFWISSELING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ATP als energierijk molecule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oxidatie van glucose weergeven in een reactievergelijking en het belang hiervan toelichten </w:t>
              <w:br/>
              <w:t xml:space="preserve"/>
              <w:br/>
              <w:t xml:space="preserve">illustreren in welke processen ATP wordt verbruikt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aanvullingen van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processen beschrijven en situeren: (an)aerobe afbraak van glucose, aerobe afbraak van vetzuren </w:t>
              <w:br/>
              <w:t xml:space="preserve"> </w:t>
              <w:br/>
              <w:t xml:space="preserve">het relatief aandeel van de anaeroob alactische, anaeroob lactische en aerobe energiesystemen in energielevering toelichten in een gegeven situatie en tijdens sportbeoefening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w:t>
            </w:r>
            <w:r>
              <w:rPr>
                <w:vertAlign w:val="subscript"/>
              </w:rPr>
              <w:t xml:space="preserve">2</w:t>
            </w:r>
            <w:r>
              <w:rPr/>
              <w:t xml:space="preserve">-tekort en O</w:t>
            </w:r>
            <w:r>
              <w:rPr>
                <w:vertAlign w:val="subscript"/>
              </w:rPr>
              <w:t xml:space="preserve">2</w:t>
            </w:r>
            <w:r>
              <w:rPr/>
              <w:t xml:space="preserve">-schuld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w:t>
            </w:r>
            <w:r>
              <w:rPr>
                <w:vertAlign w:val="subscript"/>
              </w:rPr>
              <w:t xml:space="preserve">2</w:t>
            </w:r>
            <w:r>
              <w:rPr/>
              <w:t xml:space="preserve">-tekort en O</w:t>
            </w:r>
            <w:r>
              <w:rPr>
                <w:vertAlign w:val="subscript"/>
              </w:rPr>
              <w:t xml:space="preserve">2</w:t>
            </w:r>
            <w:r>
              <w:rPr/>
              <w:t xml:space="preserve">-schuld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melkzuurproductie, anaërobe drempel, omslagpunt, recuperatie en lactaatmetingen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melkzuurproductie, anaërobe drempel, omslagpunt, recuperatie en lactaatmetingen definiëren 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LICHAAMSASSEN EN - VLAKKEN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lichaamsassen en de lichaamsvlakken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lichaamsassen en de lichaamsvlakken benoemen, herkennen en aanduiden op beeldmateriaal </w:t>
              <w:br/>
              <w:t xml:space="preserve">deze assen en vlakken herkennen bij eenvoudige bewegingen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lichaamsbewegingen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lichaamsbewegingen herkennen, benoemen en aanduiden op een afbeelding:  </w:t>
            </w:r>
          </w:p>
          <w:p>
            <w:pPr>
              <w:pStyle w:val="ListParagraph"/>
              <w:numPr>
                <w:ilvl w:val="0"/>
                <w:numId w:val="11"/>
              </w:numPr>
            </w:pPr>
            <w:r>
              <w:rPr/>
              <w:t xml:space="preserve">abductie en adductie </w:t>
            </w:r>
          </w:p>
          <w:p>
            <w:pPr>
              <w:pStyle w:val="ListParagraph"/>
              <w:numPr>
                <w:ilvl w:val="0"/>
                <w:numId w:val="11"/>
              </w:numPr>
            </w:pPr>
            <w:r>
              <w:rPr/>
              <w:t xml:space="preserve">anteflexie en retroflexie </w:t>
            </w:r>
          </w:p>
          <w:p>
            <w:pPr>
              <w:pStyle w:val="ListParagraph"/>
              <w:numPr>
                <w:ilvl w:val="0"/>
                <w:numId w:val="11"/>
              </w:numPr>
            </w:pPr>
            <w:r>
              <w:rPr/>
              <w:t xml:space="preserve">flexie en extensie </w:t>
            </w:r>
          </w:p>
          <w:p>
            <w:pPr>
              <w:pStyle w:val="ListParagraph"/>
              <w:numPr>
                <w:ilvl w:val="0"/>
                <w:numId w:val="11"/>
              </w:numPr>
            </w:pPr>
            <w:r>
              <w:rPr/>
              <w:t xml:space="preserve">plantair en dorsaalflexie </w:t>
            </w:r>
          </w:p>
          <w:p>
            <w:pPr>
              <w:pStyle w:val="ListParagraph"/>
              <w:numPr>
                <w:ilvl w:val="0"/>
                <w:numId w:val="11"/>
              </w:numPr>
            </w:pPr>
            <w:r>
              <w:rPr/>
              <w:t xml:space="preserve">pronatie en supinatie </w:t>
            </w:r>
          </w:p>
          <w:p>
            <w:pPr>
              <w:pStyle w:val="ListParagraph"/>
              <w:numPr>
                <w:ilvl w:val="0"/>
                <w:numId w:val="11"/>
              </w:numPr>
            </w:pPr>
            <w:r>
              <w:rPr/>
              <w:t xml:space="preserve">inversie en eversie </w:t>
            </w:r>
          </w:p>
          <w:p>
            <w:pPr>
              <w:pStyle w:val="ListParagraph"/>
              <w:numPr>
                <w:ilvl w:val="0"/>
                <w:numId w:val="11"/>
              </w:numPr>
            </w:pPr>
            <w:r>
              <w:rPr/>
              <w:t xml:space="preserve">endorotatie en exorotatie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richtingsaanduidingen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richtingsaanduidingen herkennen en benoemen en er voorbeelden van geven: </w:t>
            </w:r>
          </w:p>
          <w:p>
            <w:pPr>
              <w:pStyle w:val="ListParagraph"/>
              <w:numPr>
                <w:ilvl w:val="0"/>
                <w:numId w:val="12"/>
              </w:numPr>
            </w:pPr>
            <w:r>
              <w:rPr/>
              <w:t xml:space="preserve">proximaal en distaal </w:t>
            </w:r>
          </w:p>
          <w:p>
            <w:pPr>
              <w:pStyle w:val="ListParagraph"/>
              <w:numPr>
                <w:ilvl w:val="0"/>
                <w:numId w:val="12"/>
              </w:numPr>
            </w:pPr>
            <w:r>
              <w:rPr/>
              <w:t xml:space="preserve">mediaal en lateraal </w:t>
            </w:r>
          </w:p>
          <w:p>
            <w:pPr>
              <w:pStyle w:val="ListParagraph"/>
              <w:numPr>
                <w:ilvl w:val="0"/>
                <w:numId w:val="12"/>
              </w:numPr>
            </w:pPr>
            <w:r>
              <w:rPr/>
              <w:t xml:space="preserve">dorsaal en ventraal </w:t>
            </w:r>
          </w:p>
          <w:p>
            <w:pPr>
              <w:pStyle w:val="ListParagraph"/>
              <w:numPr>
                <w:ilvl w:val="0"/>
                <w:numId w:val="12"/>
              </w:numPr>
            </w:pPr>
            <w:r>
              <w:rPr/>
              <w:t xml:space="preserve">caudaal en craniaal </w:t>
            </w:r>
          </w:p>
          <w:p>
            <w:pPr>
              <w:pStyle w:val="ListParagraph"/>
              <w:numPr>
                <w:ilvl w:val="0"/>
                <w:numId w:val="12"/>
              </w:numPr>
            </w:pPr>
            <w:r>
              <w:rPr/>
              <w:t xml:space="preserve">centraal en perifeer </w:t>
            </w:r>
          </w:p>
          <w:p>
            <w:pPr>
              <w:pStyle w:val="ListParagraph"/>
              <w:numPr>
                <w:ilvl w:val="0"/>
                <w:numId w:val="12"/>
              </w:numPr>
            </w:pPr>
            <w:r>
              <w:rPr/>
              <w:t xml:space="preserve">anterior en posterior </w:t>
            </w:r>
          </w:p>
          <w:p>
            <w:pPr>
              <w:pStyle w:val="ListParagraph"/>
              <w:numPr>
                <w:ilvl w:val="0"/>
                <w:numId w:val="12"/>
              </w:numPr>
            </w:pPr>
            <w:r>
              <w:rPr/>
              <w:t xml:space="preserve">superior en inferior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BEENDEREN EN GEWRICHTEN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beenderen als onderdeel van het skelet</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letsels aan het skelet</w:t>
              <w:br/>
              <w:t xml:space="preserve"/>
              <w:b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beenderen als onderdelen van het skelet benoemen, herkennen en aanduiden op beeldmateriaal:  </w:t>
              <w:br/>
              <w:t xml:space="preserve"/>
              <w:br/>
              <w:t xml:space="preserve"/>
            </w:r>
          </w:p>
          <w:p>
            <w:pPr>
              <w:pStyle w:val="ListParagraph"/>
              <w:numPr>
                <w:ilvl w:val="0"/>
                <w:numId w:val="13"/>
              </w:numPr>
            </w:pPr>
            <w:r>
              <w:rPr/>
              <w:t xml:space="preserve">schedelbeenderen </w:t>
            </w:r>
          </w:p>
          <w:p>
            <w:pPr>
              <w:pStyle w:val="ListParagraph"/>
              <w:numPr>
                <w:ilvl w:val="0"/>
                <w:numId w:val="13"/>
              </w:numPr>
            </w:pPr>
            <w:r>
              <w:rPr/>
              <w:t xml:space="preserve">wervelkolom </w:t>
            </w:r>
          </w:p>
          <w:p>
            <w:pPr>
              <w:pStyle w:val="ListParagraph"/>
              <w:numPr>
                <w:ilvl w:val="0"/>
                <w:numId w:val="13"/>
              </w:numPr>
            </w:pPr>
            <w:r>
              <w:rPr/>
              <w:t xml:space="preserve">borstkas </w:t>
            </w:r>
          </w:p>
          <w:p>
            <w:pPr>
              <w:pStyle w:val="ListParagraph"/>
              <w:numPr>
                <w:ilvl w:val="0"/>
                <w:numId w:val="13"/>
              </w:numPr>
            </w:pPr>
            <w:r>
              <w:rPr/>
              <w:t xml:space="preserve">schoudergordel en bekkengordel </w:t>
            </w:r>
          </w:p>
          <w:p>
            <w:pPr>
              <w:pStyle w:val="ListParagraph"/>
              <w:numPr>
                <w:ilvl w:val="0"/>
                <w:numId w:val="13"/>
              </w:numPr>
            </w:pPr>
            <w:r>
              <w:rPr/>
              <w:t xml:space="preserve">bekkenbeenderen </w:t>
            </w:r>
          </w:p>
          <w:p>
            <w:pPr>
              <w:pStyle w:val="ListParagraph"/>
              <w:numPr>
                <w:ilvl w:val="0"/>
                <w:numId w:val="13"/>
              </w:numPr>
            </w:pPr>
            <w:r>
              <w:rPr/>
              <w:t xml:space="preserve">onderste en bovenste ledematen  </w:t>
            </w:r>
          </w:p>
          <w:p>
            <w:r>
              <w:rPr/>
              <w:t xml:space="preserve"> </w:t>
              <w:br/>
              <w:t xml:space="preserve">de volgende letsels aan het skelet herkennen en benoemen en de oorzaken toelichten: </w:t>
            </w:r>
          </w:p>
          <w:p>
            <w:pPr>
              <w:pStyle w:val="ListParagraph"/>
              <w:numPr>
                <w:ilvl w:val="0"/>
                <w:numId w:val="14"/>
              </w:numPr>
            </w:pPr>
            <w:r>
              <w:rPr/>
              <w:t xml:space="preserve">skeletafwijkingen </w:t>
            </w:r>
          </w:p>
          <w:p>
            <w:pPr>
              <w:pStyle w:val="ListParagraph"/>
              <w:numPr>
                <w:ilvl w:val="0"/>
                <w:numId w:val="14"/>
              </w:numPr>
            </w:pPr>
            <w:r>
              <w:rPr/>
              <w:t xml:space="preserve">stressfracturen </w:t>
            </w:r>
          </w:p>
          <w:p>
            <w:pPr>
              <w:pStyle w:val="ListParagraph"/>
              <w:numPr>
                <w:ilvl w:val="0"/>
                <w:numId w:val="14"/>
              </w:numPr>
            </w:pPr>
            <w:r>
              <w:rPr/>
              <w:t xml:space="preserve">beenvliesontstekingen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gewrichten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gewrichtsletsels en blessures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gewrichten benoemen, herkennen en aanduiden op beeldmateriaal:  </w:t>
              <w:br/>
              <w:t xml:space="preserve"/>
              <w:br/>
              <w:t xml:space="preserve"/>
            </w:r>
          </w:p>
          <w:p>
            <w:pPr>
              <w:pStyle w:val="ListParagraph"/>
              <w:numPr>
                <w:ilvl w:val="0"/>
                <w:numId w:val="15"/>
              </w:numPr>
            </w:pPr>
            <w:r>
              <w:rPr/>
              <w:t xml:space="preserve">schoudergewricht </w:t>
            </w:r>
          </w:p>
          <w:p>
            <w:pPr>
              <w:pStyle w:val="ListParagraph"/>
              <w:numPr>
                <w:ilvl w:val="0"/>
                <w:numId w:val="15"/>
              </w:numPr>
            </w:pPr>
            <w:r>
              <w:rPr/>
              <w:t xml:space="preserve">ellebooggewricht </w:t>
            </w:r>
          </w:p>
          <w:p>
            <w:pPr>
              <w:pStyle w:val="ListParagraph"/>
              <w:numPr>
                <w:ilvl w:val="0"/>
                <w:numId w:val="15"/>
              </w:numPr>
            </w:pPr>
            <w:r>
              <w:rPr/>
              <w:t xml:space="preserve">heupgewricht </w:t>
            </w:r>
          </w:p>
          <w:p>
            <w:pPr>
              <w:pStyle w:val="ListParagraph"/>
              <w:numPr>
                <w:ilvl w:val="0"/>
                <w:numId w:val="15"/>
              </w:numPr>
            </w:pPr>
            <w:r>
              <w:rPr/>
              <w:t xml:space="preserve">kniegewricht </w:t>
            </w:r>
          </w:p>
          <w:p>
            <w:pPr>
              <w:pStyle w:val="ListParagraph"/>
              <w:numPr>
                <w:ilvl w:val="0"/>
                <w:numId w:val="15"/>
              </w:numPr>
            </w:pPr>
            <w:r>
              <w:rPr/>
              <w:t xml:space="preserve">enkelgewricht </w:t>
            </w:r>
          </w:p>
          <w:p>
            <w:pPr>
              <w:pStyle w:val="ListParagraph"/>
              <w:numPr>
                <w:ilvl w:val="0"/>
                <w:numId w:val="15"/>
              </w:numPr>
            </w:pPr>
            <w:r>
              <w:rPr/>
              <w:t xml:space="preserve">wervelkolom </w:t>
            </w:r>
          </w:p>
          <w:p>
            <w:r>
              <w:rPr/>
              <w:t xml:space="preserve"> </w:t>
              <w:br/>
              <w:t xml:space="preserve"/>
              <w:br/>
              <w:t xml:space="preserve">de bouw en samenstelling van deze gewrichten beschrijven gebruik makend van de begrippen  synoviale ruimte, synoviaal vocht, bursa, kapsel, pees ligament, kraakbeen </w:t>
              <w:br/>
              <w:t xml:space="preserve"/>
              <w:br/>
              <w:t xml:space="preserve">de bewegingsmogelijkheden van deze gewrichten toelichten </w:t>
              <w:br/>
              <w:t xml:space="preserve"/>
              <w:br/>
              <w:t xml:space="preserve">gewrichtsletsels toelichten: </w:t>
            </w:r>
          </w:p>
          <w:p>
            <w:pPr>
              <w:pStyle w:val="ListParagraph"/>
              <w:numPr>
                <w:ilvl w:val="0"/>
                <w:numId w:val="16"/>
              </w:numPr>
            </w:pPr>
            <w:r>
              <w:rPr/>
              <w:t xml:space="preserve">verstuikingen </w:t>
            </w:r>
          </w:p>
          <w:p>
            <w:pPr>
              <w:pStyle w:val="ListParagraph"/>
              <w:numPr>
                <w:ilvl w:val="0"/>
                <w:numId w:val="16"/>
              </w:numPr>
            </w:pPr>
            <w:r>
              <w:rPr/>
              <w:t xml:space="preserve">ontwrichtingen </w:t>
            </w:r>
          </w:p>
          <w:p>
            <w:pPr>
              <w:pStyle w:val="ListParagraph"/>
              <w:numPr>
                <w:ilvl w:val="0"/>
                <w:numId w:val="16"/>
              </w:numPr>
            </w:pPr>
            <w:r>
              <w:rPr/>
              <w:t xml:space="preserve">artrose </w:t>
            </w:r>
          </w:p>
          <w:p>
            <w:pPr>
              <w:pStyle w:val="ListParagraph"/>
              <w:numPr>
                <w:ilvl w:val="0"/>
                <w:numId w:val="16"/>
              </w:numPr>
            </w:pPr>
            <w:r>
              <w:rPr/>
              <w:t xml:space="preserve">letsels van het kniegewricht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SPIERSTELSEL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dwarsgestreepte spier </w:t>
              <w:br/>
              <w:t xml:space="preserve"> </w:t>
              <w:br/>
              <w:t xml:space="preserve"> </w:t>
              <w:br/>
              <w:t xml:space="preserve"/>
              <w:br/>
              <w:t xml:space="preserve">soorten spiervezels </w:t>
              <w:br/>
              <w:t xml:space="preserve"> </w:t>
              <w:br/>
              <w:t xml:space="preserve"/>
              <w:br/>
              <w:t xml:space="preserve"> </w:t>
              <w:br/>
              <w:t xml:space="preserve"/>
              <w:br/>
              <w:t xml:space="preserve">hulpstructuur van een spier </w:t>
              <w:br/>
              <w:t xml:space="preserve"> </w:t>
              <w:br/>
              <w:t xml:space="preserve"/>
              <w:br/>
              <w:t xml:space="preserve"> </w:t>
              <w:br/>
              <w:t xml:space="preserve"/>
              <w:br/>
              <w:t xml:space="preserve"/>
              <w:br/>
              <w:t xml:space="preserve"> </w:t>
              <w:br/>
              <w:t xml:space="preserve">spierletsels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samenstelling van de dwarsgestreepte spier tot op microscopisch niveau</w:t>
              <w:br/>
              <w:t xml:space="preserve"/>
              <w:br/>
              <w:t xml:space="preserve">herkennen, benoemen en toelichten </w:t>
              <w:br/>
              <w:t xml:space="preserve"> </w:t>
              <w:br/>
              <w:t xml:space="preserve">het mechanisme van de spiercontractie op microscopisch niveau toelichten </w:t>
              <w:br/>
              <w:t xml:space="preserve"/>
              <w:br/>
              <w:t xml:space="preserve">de kenmerken van type I en type II vezels beschrijven </w:t>
              <w:br/>
              <w:t xml:space="preserve"/>
              <w:br/>
              <w:t xml:space="preserve">het verband tussen het type spiervezels en de sportbeoefening toelichten </w:t>
              <w:br/>
              <w:t xml:space="preserve"/>
              <w:br/>
              <w:t xml:space="preserve">de volgende hulpstructuren van de spier herkennen en aanduiden op een afbeelding: </w:t>
              <w:br/>
              <w:t xml:space="preserve"/>
              <w:br/>
              <w:t xml:space="preserve"/>
            </w:r>
          </w:p>
          <w:p>
            <w:pPr>
              <w:pStyle w:val="ListParagraph"/>
              <w:numPr>
                <w:ilvl w:val="0"/>
                <w:numId w:val="17"/>
              </w:numPr>
            </w:pPr>
            <w:r>
              <w:rPr/>
              <w:t xml:space="preserve">pees </w:t>
            </w:r>
          </w:p>
          <w:p>
            <w:pPr>
              <w:pStyle w:val="ListParagraph"/>
              <w:numPr>
                <w:ilvl w:val="0"/>
                <w:numId w:val="17"/>
              </w:numPr>
            </w:pPr>
            <w:r>
              <w:rPr/>
              <w:t xml:space="preserve">peesschede </w:t>
            </w:r>
          </w:p>
          <w:p>
            <w:pPr>
              <w:pStyle w:val="ListParagraph"/>
              <w:numPr>
                <w:ilvl w:val="0"/>
                <w:numId w:val="17"/>
              </w:numPr>
            </w:pPr>
            <w:r>
              <w:rPr/>
              <w:t xml:space="preserve">slijmbeurs </w:t>
            </w:r>
          </w:p>
          <w:p>
            <w:r>
              <w:rPr/>
              <w:t xml:space="preserve"> </w:t>
              <w:br/>
              <w:t xml:space="preserve"/>
              <w:br/>
              <w:t xml:space="preserve">de volgende spierletsels classificeren en toelichten hoe te voorkomen en te verzorgen: </w:t>
            </w:r>
          </w:p>
          <w:p>
            <w:pPr>
              <w:pStyle w:val="ListParagraph"/>
              <w:numPr>
                <w:ilvl w:val="0"/>
                <w:numId w:val="18"/>
              </w:numPr>
            </w:pPr>
            <w:r>
              <w:rPr/>
              <w:t xml:space="preserve">spierscheur </w:t>
            </w:r>
          </w:p>
          <w:p>
            <w:pPr>
              <w:pStyle w:val="ListParagraph"/>
              <w:numPr>
                <w:ilvl w:val="0"/>
                <w:numId w:val="18"/>
              </w:numPr>
            </w:pPr>
            <w:r>
              <w:rPr/>
              <w:t xml:space="preserve">spierkramp </w:t>
            </w:r>
          </w:p>
          <w:p>
            <w:pPr>
              <w:pStyle w:val="ListParagraph"/>
              <w:numPr>
                <w:ilvl w:val="0"/>
                <w:numId w:val="18"/>
              </w:numPr>
            </w:pPr>
            <w:r>
              <w:rPr/>
              <w:t xml:space="preserve">spiercontusie </w:t>
            </w:r>
          </w:p>
          <w:p>
            <w:pPr>
              <w:pStyle w:val="ListParagraph"/>
              <w:numPr>
                <w:ilvl w:val="0"/>
                <w:numId w:val="18"/>
              </w:numPr>
            </w:pPr>
            <w:r>
              <w:rPr/>
              <w:t xml:space="preserve">spierpijn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spiercontractie </w:t>
              <w:br/>
              <w:t xml:space="preserve"/>
              <w:br/>
              <w:t xml:space="preserve"> </w:t>
              <w:br/>
              <w:t xml:space="preserve"/>
              <w:br/>
              <w:t xml:space="preserve"> </w:t>
              <w:br/>
              <w:t xml:space="preserve"/>
              <w:br/>
              <w:t xml:space="preserve">factoren die de spierwerking beïnvloeden </w:t>
              <w:br/>
              <w:t xml:space="preserve"/>
              <w:br/>
              <w:t xml:space="preserve"> </w:t>
              <w:br/>
              <w:t xml:space="preserve"/>
              <w:br/>
              <w:t xml:space="preserve"> </w:t>
              <w:br/>
              <w:t xml:space="preserve"/>
              <w:br/>
              <w:t xml:space="preserve">tonus van de spier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spiercontractie herkennen in functie van beweging en kracht:  </w:t>
              <w:br/>
              <w:t xml:space="preserve"/>
              <w:br/>
              <w:t xml:space="preserve"/>
            </w:r>
          </w:p>
          <w:p>
            <w:pPr>
              <w:pStyle w:val="ListParagraph"/>
              <w:numPr>
                <w:ilvl w:val="0"/>
                <w:numId w:val="19"/>
              </w:numPr>
            </w:pPr>
            <w:r>
              <w:rPr/>
              <w:t xml:space="preserve">dynamische spiercontractie (concentrische, excentrische, isokinetische en isotone contractie)  </w:t>
            </w:r>
          </w:p>
          <w:p>
            <w:pPr>
              <w:pStyle w:val="ListParagraph"/>
              <w:numPr>
                <w:ilvl w:val="0"/>
                <w:numId w:val="19"/>
              </w:numPr>
            </w:pPr>
            <w:r>
              <w:rPr/>
              <w:t xml:space="preserve">statische spiercontractie (isometrische contractie) </w:t>
            </w:r>
          </w:p>
          <w:p>
            <w:r>
              <w:rPr/>
              <w:t xml:space="preserve"> </w:t>
              <w:br/>
              <w:t xml:space="preserve"/>
              <w:br/>
              <w:t xml:space="preserve">factoren die de spierwerking beïnvloeden herkennen en toelichten: </w:t>
              <w:br/>
              <w:t xml:space="preserve"/>
              <w:br/>
              <w:t xml:space="preserve"/>
            </w:r>
          </w:p>
          <w:p>
            <w:pPr>
              <w:pStyle w:val="ListParagraph"/>
              <w:numPr>
                <w:ilvl w:val="0"/>
                <w:numId w:val="20"/>
              </w:numPr>
            </w:pPr>
            <w:r>
              <w:rPr/>
              <w:t xml:space="preserve">intensiteit van de spiercontractie afhankelijk van</w:t>
            </w:r>
          </w:p>
          <w:p>
            <w:pPr>
              <w:pStyle w:val="ListParagraph"/>
              <w:numPr>
                <w:ilvl w:val="1"/>
                <w:numId w:val="20"/>
              </w:numPr>
            </w:pPr>
            <w:r>
              <w:rPr/>
              <w:t xml:space="preserve">de prikkelfrequentie, de prikkelduur, de voorafgaande belasting </w:t>
            </w:r>
          </w:p>
          <w:p>
            <w:pPr>
              <w:pStyle w:val="ListParagraph"/>
              <w:numPr>
                <w:ilvl w:val="0"/>
                <w:numId w:val="20"/>
              </w:numPr>
            </w:pPr>
            <w:r>
              <w:rPr/>
              <w:t xml:space="preserve">de regeling van de contractie: de motorische eenheid </w:t>
            </w:r>
          </w:p>
          <w:p>
            <w:r>
              <w:rPr/>
              <w:t xml:space="preserve"> </w:t>
              <w:br/>
              <w:t xml:space="preserve"/>
              <w:br/>
              <w:t xml:space="preserve">het begrip spiertonus definiëren en de voordelen van goede toniciteit van een spier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bewegingsuitvoerende spieren </w:t>
              <w:br/>
              <w:t xml:space="preserve"/>
              <w:br/>
              <w:t xml:space="preserve">oorsprong en insertie van de belangrijkste spieren, spiergroepen en buikspieren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bewegingsuitvoerende spieren opnoemen, situeren,                                                                                                          hun oorsprong en aanhechting aanduiden op een afbeelding en hieruit hun werking afleiden: </w:t>
            </w:r>
          </w:p>
          <w:p>
            <w:pPr>
              <w:pStyle w:val="ListParagraph"/>
              <w:numPr>
                <w:ilvl w:val="0"/>
                <w:numId w:val="21"/>
              </w:numPr>
            </w:pPr>
            <w:r>
              <w:rPr/>
              <w:t xml:space="preserve">tweehoofdige armbuigspier, driehoofdige armstrekker, monnikskapspier, deltaspier, brede rugspier,                              grote borstspier, grote bilspier, vierhoofdige dijbeenspier, tweehoofdige dijbeenspier, kuitspier </w:t>
            </w:r>
          </w:p>
          <w:p>
            <w:pPr>
              <w:pStyle w:val="ListParagraph"/>
              <w:numPr>
                <w:ilvl w:val="0"/>
                <w:numId w:val="21"/>
              </w:numPr>
            </w:pPr>
            <w:r>
              <w:rPr/>
              <w:t xml:space="preserve">buikspieren </w:t>
            </w:r>
          </w:p>
          <w:p>
            <w:pPr>
              <w:pStyle w:val="ListParagraph"/>
              <w:numPr>
                <w:ilvl w:val="0"/>
                <w:numId w:val="21"/>
              </w:numPr>
            </w:pPr>
            <w:r>
              <w:rPr/>
              <w:t xml:space="preserve">spiergroepen: borstspieren, buikspieren, rugspieren, schouderspieren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houdingen en bewegingen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agonist, antagonist en synergist toepassen op bewegingen en sportoefeningen </w:t>
              <w:br/>
              <w:t xml:space="preserve"/>
              <w:br/>
              <w:t xml:space="preserve">opsommen welke spieren of spiergroepen vooral gebruikt worden bij een gegeven beweging                                                            of sportoefening </w:t>
              <w:br/>
              <w:t xml:space="preserve"/>
              <w:br/>
              <w:t xml:space="preserve">hefbomen en krachten herkennen bij een gegeven houding of beweging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ZENUWSTELSEL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zenuwstelsel toelichten en op een afbeelding het centraal en perifeer zenuwstelsel situeren: </w:t>
              <w:br/>
              <w:t xml:space="preserve"/>
              <w:br/>
              <w:t xml:space="preserve"/>
            </w:r>
          </w:p>
          <w:p>
            <w:pPr>
              <w:pStyle w:val="ListParagraph"/>
              <w:numPr>
                <w:ilvl w:val="0"/>
                <w:numId w:val="22"/>
              </w:numPr>
            </w:pPr>
            <w:r>
              <w:rPr/>
              <w:t xml:space="preserve">grote hersenen, kleine hersenen, hersenstam, ruggenmerg </w:t>
            </w:r>
          </w:p>
          <w:p>
            <w:pPr>
              <w:pStyle w:val="ListParagraph"/>
              <w:numPr>
                <w:ilvl w:val="0"/>
                <w:numId w:val="22"/>
              </w:numPr>
            </w:pPr>
            <w:r>
              <w:rPr/>
              <w:t xml:space="preserve">sensibele, motorische en gemengde zenuwen </w:t>
            </w:r>
          </w:p>
          <w:p>
            <w:r>
              <w:rPr/>
              <w:t xml:space="preserve">het verschil in functie tussen animaal en vegetatief zenuwstelsel toelichten </w:t>
              <w:br/>
              <w:t xml:space="preserve"/>
              <w:br/>
              <w:t xml:space="preserve">de coördinerende functie van het animaal zenuwstelsel bij reflexen, bewuste gewaarwordingen en gewilde bewegingen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HORMOONSTELSEL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hormonale doping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hormonen en producten die een invloed hebben op sportprestaties benoemen en herkennen:  </w:t>
              <w:br/>
              <w:t xml:space="preserve"/>
              <w:br/>
              <w:t xml:space="preserve"/>
            </w:r>
          </w:p>
          <w:p>
            <w:pPr>
              <w:pStyle w:val="ListParagraph"/>
              <w:numPr>
                <w:ilvl w:val="0"/>
                <w:numId w:val="23"/>
              </w:numPr>
            </w:pPr>
            <w:r>
              <w:rPr/>
              <w:t xml:space="preserve">stimulerende middelen en drugs: cannabis, amfetamines, efedrine </w:t>
            </w:r>
          </w:p>
          <w:p>
            <w:pPr>
              <w:pStyle w:val="ListParagraph"/>
              <w:numPr>
                <w:ilvl w:val="0"/>
                <w:numId w:val="23"/>
              </w:numPr>
            </w:pPr>
            <w:r>
              <w:rPr/>
              <w:t xml:space="preserve">hormonen: steroïden, zwangerschapshormoon, groeihormoon, epo, glucocorticoïden </w:t>
            </w:r>
          </w:p>
          <w:p>
            <w:pPr>
              <w:pStyle w:val="ListParagraph"/>
              <w:numPr>
                <w:ilvl w:val="0"/>
                <w:numId w:val="23"/>
              </w:numPr>
            </w:pPr>
            <w:r>
              <w:rPr/>
              <w:t xml:space="preserve">andere: diuretica, bèta-blokkers, salbutamol </w:t>
            </w:r>
          </w:p>
          <w:p>
            <w:r>
              <w:rPr/>
              <w:t xml:space="preserve"> </w:t>
              <w:br/>
              <w:t xml:space="preserve"/>
              <w:br/>
              <w:t xml:space="preserve">hormonale doping en de gevaren ervan toelichten en uitleggen hoe hormonen sportprestaties beïnvloeden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 en vertering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voedingsmiddel de voedingsbestanddelen en hun bouwstenen benoemen en herkennen: </w:t>
              <w:br/>
              <w:t xml:space="preserve"/>
              <w:br/>
              <w:t xml:space="preserve"/>
            </w:r>
          </w:p>
          <w:p>
            <w:pPr>
              <w:pStyle w:val="ListParagraph"/>
              <w:numPr>
                <w:ilvl w:val="0"/>
                <w:numId w:val="24"/>
              </w:numPr>
            </w:pPr>
            <w:r>
              <w:rPr/>
              <w:t xml:space="preserve">koolhydraten, eiwitten, vetten </w:t>
            </w:r>
          </w:p>
          <w:p>
            <w:pPr>
              <w:pStyle w:val="ListParagraph"/>
              <w:numPr>
                <w:ilvl w:val="0"/>
                <w:numId w:val="24"/>
              </w:numPr>
            </w:pPr>
            <w:r>
              <w:rPr/>
              <w:t xml:space="preserve">glucose, aminozuren, glycerol en vetzuren </w:t>
            </w:r>
          </w:p>
          <w:p>
            <w:r>
              <w:rPr/>
              <w:t xml:space="preserve"> </w:t>
              <w:br/>
              <w:t xml:space="preserve"/>
              <w:br/>
              <w:t xml:space="preserve">de enzymatische vertering van koolhydraten, eiwitten en vetten als noodzakelijke stap voor opname (absorptie) van voedingsbestanddelen toelichten </w:t>
              <w:br/>
              <w:t xml:space="preserve"/>
              <w:br/>
              <w:t xml:space="preserve">de enzymatische vertering van koolhydraten, eiwitten en vetten in het spijverteringskanaal toelichten en aanduiden waar in het spijsverteringskanaal de verteringsstap plaatsvindt: </w:t>
            </w:r>
          </w:p>
          <w:p>
            <w:pPr>
              <w:pStyle w:val="ListParagraph"/>
              <w:numPr>
                <w:ilvl w:val="0"/>
                <w:numId w:val="25"/>
              </w:numPr>
            </w:pPr>
            <w:r>
              <w:rPr/>
              <w:t xml:space="preserve">amylase, lipase, (chymo)trypsine, peptidase, protease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voedingsbehoeften bij sporters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en de noodzaak van een gevarieerde en evenwichtige voeding toelichten </w:t>
              <w:br/>
              <w:t xml:space="preserve"/>
              <w:br/>
              <w:t xml:space="preserve">het belang van vochtopname en vochtregulatie bij sportprestaties toelichten </w:t>
              <w:br/>
              <w:t xml:space="preserve"/>
              <w:br/>
              <w:t xml:space="preserve">in een voedingsschema voor sporters de soorten suikers en sportdranken classificeren en het gebruik ervan toelichten </w:t>
              <w:br/>
              <w:t xml:space="preserve"/>
              <w:br/>
              <w:t xml:space="preserve"/>
            </w:r>
          </w:p>
          <w:p>
            <w:pPr>
              <w:pStyle w:val="ListParagraph"/>
              <w:numPr>
                <w:ilvl w:val="0"/>
                <w:numId w:val="26"/>
              </w:numPr>
            </w:pPr>
            <w:r>
              <w:rPr/>
              <w:t xml:space="preserve">soorten suikers: snelle en trage suikers </w:t>
            </w:r>
          </w:p>
          <w:p>
            <w:pPr>
              <w:pStyle w:val="ListParagraph"/>
              <w:numPr>
                <w:ilvl w:val="0"/>
                <w:numId w:val="26"/>
              </w:numPr>
            </w:pPr>
            <w:r>
              <w:rPr/>
              <w:t xml:space="preserve">sportdranken: hypo,- iso,- en hypertone dranken </w:t>
            </w:r>
          </w:p>
          <w:p>
            <w:r>
              <w:rPr/>
              <w:t xml:space="preserve"> </w:t>
              <w:br/>
              <w:t xml:space="preserve"/>
              <w:br/>
              <w:t xml:space="preserve">een specifiek voedingsschema bij training, tijdens een wedstrijd, na de wedstrijd en bij duursporten interpreteren 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fysiologie van de beweging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ademhalingsstelsel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bloed- en lymfevatenstelsel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Energiestofwisseling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lichaamsassen en  lichaamsvlakken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beenderen en gewrichten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spierstelsel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zenuwstelsel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hormoonstelsel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menselijk lichaam voor Dummies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9789045350240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Anatomie en fysiologie van de mens 4e editie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9789006925630</w:t>
              <w:br/>
              <w:t xml:space="preserve"/>
              <w:br/>
              <w:t xml:space="preserve">9789006147674 (E-book)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Samengevat Anatomie en Fysiologie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9789066364004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http://coachmefit.nl/kennisbank/health-facts/anatomische-lichaamsvlakken-en-plaatsaanduidingen/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Oefensite  https://website.thiememeulenhoff.nl/anatomiefysiologie/artikelen/toetsenbank.html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https://www.dopingautoriteit.nl/wat_is_doping/dopingcategorieen/peptidehormonen_groeifactoren_en_verwante_stoffen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https://www.voedingscentrum.nl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