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kantoortechnieken 2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2006/126 (http://pro.g-o.be/blog/documents/2006-126.pdf)</w:t>
        <w:br/>
        <w:t>VVKSO D/2013/7841/003 (http://ond.vvkso-ict.com/leerplannen/doc/Kantoor-2013-003.pdf)</w:t>
        <w:br/>
        <w:t>OVSG 0/2/2013/169 (http://www.ovsg.be/leerplannen/secundair-onderwijs)</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Voor Kantoortechnieken ga je dieper in op de organisatie en de werkzaamheden van bedrijven zodat je je een beeld vormt over bedrijven en kantooradministratie in het algemeen.</w:t>
      </w:r>
    </w:p>
    <w:p>
      <w:r>
        <w:rPr/>
        <w:t xml:space="preserve"/>
      </w:r>
      <w:r>
        <w:rPr>
          <w:color w:val="00B050"/>
        </w:rPr>
        <w:t/>
      </w:r>
    </w:p>
    <w:p w14:paraId="70391787" w14:textId="3DB223A8" w:rsidR="00047953" w:rsidRDefault="001D02B3" w:rsidP="0082741A">
      <w:r>
        <w:rPr>
          <w:color w:val="00B050"/>
        </w:rPr>
        <w:t/>
      </w:r>
      <w:r>
        <w:t/>
      </w:r>
      <w:r>
        <w:rPr/>
        <w:t xml:space="preserve">Ten eerste bestudeer je de kantoorinrichting met aandacht voor ergonomie en nieuwe tendensen.</w:t>
      </w:r>
    </w:p>
    <w:p>
      <w:r>
        <w:rPr/>
        <w:t xml:space="preserve">Vervolgens bestudeer je, op het gebied van administratieve taken, de inkomende als de uitgaande post.</w:t>
      </w:r>
    </w:p>
    <w:p>
      <w:r>
        <w:rPr/>
        <w:t xml:space="preserve">Om die post goed te kunnen behandelen, moet je ook kunnen klasseren en archiveren.</w:t>
      </w:r>
    </w:p>
    <w:p>
      <w:r>
        <w:rPr/>
        <w:t xml:space="preserve">Tot slot: communiceren met de buitenwereld en met collega's wordt steeds belangrijker.</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 Bedrijven en hun werkzaamheden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 De kantoorinrichting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 De postbehandeling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 Het klassement en het archief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 Communicatie (20 %)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 Bedrijven en hun werkzaamheden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structuur van een bedrijf</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organisatie.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8"/>
              </w:numPr>
            </w:pPr>
            <w:r>
              <w:rPr/>
              <w:t xml:space="preserve">Het begrip organisatie beschrijven.</w:t>
            </w:r>
          </w:p>
          <w:p>
            <w:pPr>
              <w:pStyle w:val="ListParagraph"/>
              <w:numPr>
                <w:ilvl w:val="0"/>
                <w:numId w:val="8"/>
              </w:numPr>
            </w:pPr>
            <w:r>
              <w:rPr/>
              <w:t xml:space="preserve">De noodzaak van organisatie aantonen via concrete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organogram.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0"/>
              </w:numPr>
            </w:pPr>
            <w:r>
              <w:rPr/>
              <w:t xml:space="preserve">Het begrip organogram beschrijven.</w:t>
            </w:r>
          </w:p>
          <w:p>
            <w:pPr>
              <w:pStyle w:val="ListParagraph"/>
              <w:numPr>
                <w:ilvl w:val="0"/>
                <w:numId w:val="10"/>
              </w:numPr>
            </w:pPr>
            <w:r>
              <w:rPr/>
              <w:t xml:space="preserve">Een organogram opstellen op basis van gegeven informatie.</w:t>
            </w:r>
          </w:p>
          <w:p>
            <w:pPr>
              <w:pStyle w:val="ListParagraph"/>
              <w:numPr>
                <w:ilvl w:val="0"/>
                <w:numId w:val="10"/>
              </w:numPr>
            </w:pPr>
            <w:r>
              <w:rPr/>
              <w:t xml:space="preserve">Uit een organogram informatie over de structuur en functies in het bedrijf afleiden en toelichten.</w:t>
            </w:r>
          </w:p>
          <w:p>
            <w:r>
              <w:rPr/>
              <w:t xml:space="preserve"/>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afdelingen van een bedrijf</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afdelingen van een bedrijf.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2"/>
              </w:numPr>
            </w:pPr>
            <w:r>
              <w:rPr/>
              <w:t xml:space="preserve">De verschillende afdelingen in het organogram situeren:</w:t>
            </w:r>
          </w:p>
          <w:p>
            <w:pPr>
              <w:pStyle w:val="ListParagraph"/>
              <w:numPr>
                <w:ilvl w:val="1"/>
                <w:numId w:val="12"/>
              </w:numPr>
            </w:pPr>
            <w:r>
              <w:rPr/>
              <w:t xml:space="preserve">de algemene leiding,</w:t>
            </w:r>
          </w:p>
          <w:p>
            <w:pPr>
              <w:pStyle w:val="ListParagraph"/>
              <w:numPr>
                <w:ilvl w:val="1"/>
                <w:numId w:val="12"/>
              </w:numPr>
            </w:pPr>
            <w:r>
              <w:rPr/>
              <w:t xml:space="preserve">de receptie en het onthaal,</w:t>
            </w:r>
          </w:p>
          <w:p>
            <w:pPr>
              <w:pStyle w:val="ListParagraph"/>
              <w:numPr>
                <w:ilvl w:val="1"/>
                <w:numId w:val="12"/>
              </w:numPr>
            </w:pPr>
            <w:r>
              <w:rPr/>
              <w:t xml:space="preserve">de aankoopafdeling,</w:t>
            </w:r>
          </w:p>
          <w:p>
            <w:pPr>
              <w:pStyle w:val="ListParagraph"/>
              <w:numPr>
                <w:ilvl w:val="1"/>
                <w:numId w:val="12"/>
              </w:numPr>
            </w:pPr>
            <w:r>
              <w:rPr/>
              <w:t xml:space="preserve">de productieafdeling,</w:t>
            </w:r>
          </w:p>
          <w:p>
            <w:pPr>
              <w:pStyle w:val="ListParagraph"/>
              <w:numPr>
                <w:ilvl w:val="1"/>
                <w:numId w:val="12"/>
              </w:numPr>
            </w:pPr>
            <w:r>
              <w:rPr/>
              <w:t xml:space="preserve">de verkoopafdeling,</w:t>
            </w:r>
          </w:p>
          <w:p>
            <w:pPr>
              <w:pStyle w:val="ListParagraph"/>
              <w:numPr>
                <w:ilvl w:val="1"/>
                <w:numId w:val="12"/>
              </w:numPr>
            </w:pPr>
            <w:r>
              <w:rPr/>
              <w:t xml:space="preserve">de boekhouding en de administratie,</w:t>
            </w:r>
          </w:p>
          <w:p>
            <w:pPr>
              <w:pStyle w:val="ListParagraph"/>
              <w:numPr>
                <w:ilvl w:val="1"/>
                <w:numId w:val="12"/>
              </w:numPr>
            </w:pPr>
            <w:r>
              <w:rPr/>
              <w:t xml:space="preserve">de personeelsafdeling.</w:t>
            </w:r>
          </w:p>
          <w:p>
            <w:pPr>
              <w:pStyle w:val="ListParagraph"/>
              <w:numPr>
                <w:ilvl w:val="0"/>
                <w:numId w:val="12"/>
              </w:numPr>
            </w:pPr>
            <w:r>
              <w:rPr/>
              <w:t xml:space="preserve">De taken van elke afdeling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Lijn- en stafafdelingen.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6"/>
              </w:numPr>
            </w:pPr>
            <w:r>
              <w:rPr/>
              <w:t xml:space="preserve">Lijnafdeling beschrijven en herkennen.</w:t>
            </w:r>
          </w:p>
          <w:p>
            <w:pPr>
              <w:pStyle w:val="ListParagraph"/>
              <w:numPr>
                <w:ilvl w:val="0"/>
                <w:numId w:val="16"/>
              </w:numPr>
            </w:pPr>
            <w:r>
              <w:rPr/>
              <w:t xml:space="preserve">Stafafdeling beschrijven en herkennen.</w:t>
            </w:r>
          </w:p>
          <w:p>
            <w:pPr>
              <w:pStyle w:val="ListParagraph"/>
              <w:numPr>
                <w:ilvl w:val="0"/>
                <w:numId w:val="16"/>
              </w:numPr>
            </w:pPr>
            <w:r>
              <w:rPr/>
              <w:t xml:space="preserve">Het onderscheid tussen lijn- en stafafdelingen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Profiel van de secretariaatsmedewerker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Profiel van de secretariaatsmedewerker.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personeelsadvertenties een aantal essentiële vereisten op het gebied van kennis, vaardigheden, attitudes en voorkomen voor werknemers in verschillende afdelingen herkennen:</w:t>
            </w:r>
          </w:p>
          <w:p>
            <w:pPr>
              <w:pStyle w:val="ListParagraph"/>
              <w:numPr>
                <w:ilvl w:val="0"/>
                <w:numId w:val="18"/>
              </w:numPr>
            </w:pPr>
            <w:r>
              <w:rPr/>
              <w:t xml:space="preserve">praktische eigenschappen of vaardigheden herkennen: orde, nauwkeurigheid, organisatie, ...;</w:t>
            </w:r>
          </w:p>
          <w:p>
            <w:pPr>
              <w:pStyle w:val="ListParagraph"/>
              <w:numPr>
                <w:ilvl w:val="0"/>
                <w:numId w:val="18"/>
              </w:numPr>
            </w:pPr>
            <w:r>
              <w:rPr/>
              <w:t xml:space="preserve">technische eigenschappen of kennis herkennen: talenkennis, apparatuur, ...;</w:t>
            </w:r>
          </w:p>
          <w:p>
            <w:pPr>
              <w:pStyle w:val="ListParagraph"/>
              <w:numPr>
                <w:ilvl w:val="0"/>
                <w:numId w:val="18"/>
              </w:numPr>
            </w:pPr>
            <w:r>
              <w:rPr/>
              <w:t xml:space="preserve">een correcte beroepshouding of attitudes herkennen: tact, hoffelijkheid, klantgerichtheid, discretie, ...;</w:t>
            </w:r>
          </w:p>
          <w:p>
            <w:pPr>
              <w:pStyle w:val="ListParagraph"/>
              <w:numPr>
                <w:ilvl w:val="0"/>
                <w:numId w:val="18"/>
              </w:numPr>
            </w:pPr>
            <w:r>
              <w:rPr/>
              <w:t xml:space="preserve">een correct voorkomen herkennen: kledij, hygiëne, haartooi,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kantoorwerk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Kantoortaken.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0"/>
              </w:numPr>
            </w:pPr>
            <w:r>
              <w:rPr/>
              <w:t xml:space="preserve">De taken die behoren tot het kantoorwerk opsommen.</w:t>
            </w:r>
          </w:p>
          <w:p>
            <w:pPr>
              <w:pStyle w:val="ListParagraph"/>
              <w:numPr>
                <w:ilvl w:val="0"/>
                <w:numId w:val="20"/>
              </w:numPr>
            </w:pPr>
            <w:r>
              <w:rPr/>
              <w:t xml:space="preserve">De kantoortaken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 De kantoorinrichting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kantoorinrichting en het belang vergelijken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cellenkantoor.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2"/>
              </w:numPr>
            </w:pPr>
            <w:r>
              <w:rPr/>
              <w:t xml:space="preserve">De voor- en nadelen van het cellenkantoor benoemen.</w:t>
            </w:r>
          </w:p>
          <w:p>
            <w:pPr>
              <w:pStyle w:val="ListParagraph"/>
              <w:numPr>
                <w:ilvl w:val="0"/>
                <w:numId w:val="22"/>
              </w:numPr>
            </w:pPr>
            <w:r>
              <w:rPr/>
              <w:t xml:space="preserve">De opstelling van het cellenkantoor beschrijven.</w:t>
            </w:r>
          </w:p>
          <w:p>
            <w:pPr>
              <w:pStyle w:val="ListParagraph"/>
              <w:numPr>
                <w:ilvl w:val="0"/>
                <w:numId w:val="22"/>
              </w:numPr>
            </w:pPr>
            <w:r>
              <w:rPr/>
              <w:t xml:space="preserve">het cellenkantoor schematisch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landschapskantoor.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4"/>
              </w:numPr>
            </w:pPr>
            <w:r>
              <w:rPr/>
              <w:t xml:space="preserve">De voor- en nadelen van het landschapskantoor benoemen.</w:t>
            </w:r>
          </w:p>
          <w:p>
            <w:pPr>
              <w:pStyle w:val="ListParagraph"/>
              <w:numPr>
                <w:ilvl w:val="0"/>
                <w:numId w:val="24"/>
              </w:numPr>
            </w:pPr>
            <w:r>
              <w:rPr/>
              <w:t xml:space="preserve">De opstelling van het landschapskantoor beschrijven.</w:t>
            </w:r>
          </w:p>
          <w:p>
            <w:pPr>
              <w:pStyle w:val="ListParagraph"/>
              <w:numPr>
                <w:ilvl w:val="0"/>
                <w:numId w:val="24"/>
              </w:numPr>
            </w:pPr>
            <w:r>
              <w:rPr/>
              <w:t xml:space="preserve">Het landschapskantoor schematisch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Nieuwe tendensen op het vlak van kantoorinrichting.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nieuwe tendensen op het vlak van de kantoorinrichting afleiden uit teksten, beeldmateriaal en geluidsfragment.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Kantoorinrichting.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keuze voor een kantooropstelling toelichten op basis van de voor- en nadelen van de kantoorvormen.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kantoormeubilair beschrijven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Ergonomie op kantoor.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6"/>
              </w:numPr>
            </w:pPr>
            <w:r>
              <w:rPr/>
              <w:t xml:space="preserve">Ergonomie op kantoor herkennen.</w:t>
            </w:r>
          </w:p>
          <w:p>
            <w:pPr>
              <w:pStyle w:val="ListParagraph"/>
              <w:numPr>
                <w:ilvl w:val="0"/>
                <w:numId w:val="26"/>
              </w:numPr>
            </w:pPr>
            <w:r>
              <w:rPr/>
              <w:t xml:space="preserve">het begrip ergonomie op kantoor beschrijven.</w:t>
            </w:r>
          </w:p>
          <w:p>
            <w:pPr>
              <w:pStyle w:val="ListParagraph"/>
              <w:numPr>
                <w:ilvl w:val="0"/>
                <w:numId w:val="26"/>
              </w:numPr>
            </w:pPr>
            <w:r>
              <w:rPr/>
              <w:t xml:space="preserve">Het belang van ergonomie op kantoor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Ergonomische elementen op kantoor.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8"/>
              </w:numPr>
            </w:pPr>
            <w:r>
              <w:rPr/>
              <w:t xml:space="preserve">Ergonomische elementen op kantoor herkennen en benoemen.</w:t>
            </w:r>
          </w:p>
          <w:p>
            <w:pPr>
              <w:pStyle w:val="ListParagraph"/>
              <w:numPr>
                <w:ilvl w:val="0"/>
                <w:numId w:val="28"/>
              </w:numPr>
            </w:pPr>
            <w:r>
              <w:rPr/>
              <w:t xml:space="preserve">Het belang van ergonomische elementen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Kantoormeubilair.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verschillende soorten kantoormeubilair (zoals schrijftafel, bureaustoel, bijzetmeubelen, …) opzoeken in teksten en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Opstellingsmogelijkheden van kantoormeubilair.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Opstellingsmogelijkheden van verschillende soorten kantoormeubilair herkennen,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Kantoorbenodigdheden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kantoorapparatuur.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voornaamste kantoorapparatuur zoals computer, printer, scanner, beamer, kopieerapparaat, dicteerapparaat, rekenmachine, papiervernietiger, overheadprojector, …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kantoormaterieel.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voornaamste kantoormaterieel zoals perforator, nietjesmachine, brievenopener, …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kantoormateriaal.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voornaamste kantoormateriaal zoals papier, omslagen, nietjes, balpennen, …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Gebruiksmogelijkheden van kantoorbenodigdheden.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0"/>
              </w:numPr>
            </w:pPr>
            <w:r>
              <w:rPr/>
              <w:t xml:space="preserve">De gebruiksmogelijkheden van kantoorbenodigdheden herkennen, benoemen, beschrijven.</w:t>
            </w:r>
          </w:p>
          <w:p>
            <w:pPr>
              <w:pStyle w:val="ListParagraph"/>
              <w:numPr>
                <w:ilvl w:val="0"/>
                <w:numId w:val="30"/>
              </w:numPr>
            </w:pPr>
            <w:r>
              <w:rPr/>
              <w:t xml:space="preserve">Beschrijven hoe je milieubewust omgaat met kantoorapparatuur.</w:t>
            </w:r>
          </w:p>
          <w:p>
            <w:pPr>
              <w:pStyle w:val="ListParagraph"/>
              <w:numPr>
                <w:ilvl w:val="0"/>
                <w:numId w:val="30"/>
              </w:numPr>
            </w:pPr>
            <w:r>
              <w:rPr/>
              <w:t xml:space="preserve">De voor- en nadelen van kantoorbenodigdheden herkennen, benoemen,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Klein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welke vormen van klein onderhoud je regelmatig moet uitvoeren aan kantoorapparatuur: een toner in een kopieermachine vervangen, een cartridge in een printer vervangen, batterijen in een rekenmachine vervangen, de papiervernietiger leegmaken,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 De postbehandeling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Activiteiten bij inkomende post</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activiteiten bij inkomende post.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activiteiten van inkomende post beschrijven: ontvangen en voorsorteren, openen, afstempelen, registreren, sorteren naar bestemming en verdelen.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postbus.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2"/>
              </w:numPr>
            </w:pPr>
            <w:r>
              <w:rPr/>
              <w:t xml:space="preserve">Een postbus herkennen.</w:t>
            </w:r>
          </w:p>
          <w:p>
            <w:pPr>
              <w:pStyle w:val="ListParagraph"/>
              <w:numPr>
                <w:ilvl w:val="0"/>
                <w:numId w:val="32"/>
              </w:numPr>
            </w:pPr>
            <w:r>
              <w:rPr/>
              <w:t xml:space="preserve">Het nut van een postbus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datumstempel/refertestempel.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gebruik van een datumstempel of refertestempel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brievenregister.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een brievenregister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Belang van het juist toewijzen van poststukken.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juist toewijzen van poststukken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Activiteiten bij uitgaande post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activiteiten bij uitgaande post.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Activiteiten van uitgaande post beschrijven: sorteren, vullen van de omslagen, adresseren, frankeren, het verzenden.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NBN-normen.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NBN-normen toepassen op een briefomslag: plaats voor adres van afzender en geadresseerde, postzegel, nationaliteitsteken.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frankeermachine.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een frankeermachine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manieren van verzenden.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Verschillende manieren van verzenden beschrijven: gewone verzending, aangetekende zending, luchtpost, koerierdiensten,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Posttarieven.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Posttarieven berekenen op basis van deze criteria: afmeting, aard, gewicht, bestemming en wijze van de verzending.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 Het klassement en het archief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klassement.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klassement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archief.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archief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een klassement en een archief.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4"/>
              </w:numPr>
            </w:pPr>
            <w:r>
              <w:rPr/>
              <w:t xml:space="preserve">Het onderscheid tussen een klassement en een archief beschrijven.</w:t>
            </w:r>
          </w:p>
          <w:p>
            <w:pPr>
              <w:pStyle w:val="ListParagraph"/>
              <w:numPr>
                <w:ilvl w:val="0"/>
                <w:numId w:val="34"/>
              </w:numPr>
            </w:pPr>
            <w:r>
              <w:rPr/>
              <w:t xml:space="preserve">De samenhang en gelijkenissen tussen een klassement en een archief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Vereisten van een goed klassement en archief.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Vereisten van een goed klassement en een goed archief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 klasseren en te archiveren documenten in een bedrijf.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Documenten die geklasseerd of gearchiveerd moeten worden in een bedrijf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klasseermethode.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gebruikte klasseermethode herkennen, benoemen, toepassen en verantwoorden: alfabetisch, numeriek, alfanumeriek, chronologisch, geografisch en decimaal.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Klasseermateriaal.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6"/>
              </w:numPr>
            </w:pPr>
            <w:r>
              <w:rPr/>
              <w:t xml:space="preserve">Het beschikbaar klasseermateriaal: ringmap, ordners, hangmappenkast, tabbladen, roldeurkast, schuifdeurkast, kartonnen mappen, steekkaartenbakje, … herkennen en correct benoemen.</w:t>
            </w:r>
          </w:p>
          <w:p>
            <w:pPr>
              <w:pStyle w:val="ListParagraph"/>
              <w:numPr>
                <w:ilvl w:val="0"/>
                <w:numId w:val="36"/>
              </w:numPr>
            </w:pPr>
            <w:r>
              <w:rPr/>
              <w:t xml:space="preserve">Verklaren waarom je een bepaald klasseermiddel verkiest.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Bewaren en opzoeken van archiefdocumenten.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Hulpmiddelen zoals overhandigingskaart, papier, microfilm, videofilm, archiefdoos, verrijdbare stelling, papierversnipperaar herkennen,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 Communicatie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8"/>
              </w:numPr>
            </w:pPr>
            <w:r>
              <w:rPr/>
              <w:t xml:space="preserve">Het begrip communicatie beschrijven.</w:t>
            </w:r>
          </w:p>
          <w:p>
            <w:pPr>
              <w:pStyle w:val="ListParagraph"/>
              <w:numPr>
                <w:ilvl w:val="0"/>
                <w:numId w:val="38"/>
              </w:numPr>
            </w:pPr>
            <w:r>
              <w:rPr/>
              <w:t xml:space="preserve">De essentiële onderdelen van communicatie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communicatie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Vormen van communicatie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telefoon.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telefoon als communicatiemiddel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in de telefonie.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en nieuwste trends in telefonie beschrijven uit teksten, beeldmateriaal en geluidsfragmenten.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en nadelen van de telefoon.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 en nadelen van de telefoon herkennen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verantwoorde keuze voor telefonie maken.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0"/>
              </w:numPr>
            </w:pPr>
            <w:r>
              <w:rPr/>
              <w:t xml:space="preserve">De concurrentie in de telefonie in recente teksten vaststellen.</w:t>
            </w:r>
          </w:p>
          <w:p>
            <w:pPr>
              <w:pStyle w:val="ListParagraph"/>
              <w:numPr>
                <w:ilvl w:val="0"/>
                <w:numId w:val="40"/>
              </w:numPr>
            </w:pPr>
            <w:r>
              <w:rPr/>
              <w:t xml:space="preserve">Op basis van de informatie in teksten een keuze maken voor een aanbieder van telefonie, wat prijzen en/of aangeboden service betreft.</w:t>
            </w:r>
          </w:p>
          <w:p>
            <w:pPr>
              <w:pStyle w:val="ListParagraph"/>
              <w:numPr>
                <w:ilvl w:val="0"/>
                <w:numId w:val="40"/>
              </w:numPr>
            </w:pPr>
            <w:r>
              <w:rPr/>
              <w:t xml:space="preserve">Verklaren waarom je een bepaalde keuze maakt.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Telefoonfacturen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gegevens op een telefoonfactuur interpreteren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Comfort- of extra diensten bij telefonie 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Comfort- of extra diensten bij telefonie afleiden uit gegeven informatie.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Binnen- en buitenlandse telefoonnummers opzoeken.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Binnen- en buitenlandse nummers opzoeken.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zakelijk telefoongesprek 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2"/>
              </w:numPr>
            </w:pPr>
            <w:r>
              <w:rPr/>
              <w:t xml:space="preserve">0p een klantvriendelijke manier een telefoongesprek voeren aan de hand van een aantal uitdrukkingen:</w:t>
            </w:r>
          </w:p>
          <w:p>
            <w:pPr>
              <w:pStyle w:val="ListParagraph"/>
              <w:numPr>
                <w:ilvl w:val="1"/>
                <w:numId w:val="42"/>
              </w:numPr>
            </w:pPr>
            <w:r>
              <w:rPr/>
              <w:t xml:space="preserve">de telefoon op een klantvriendelijke manier aannemen</w:t>
            </w:r>
          </w:p>
          <w:p>
            <w:pPr>
              <w:pStyle w:val="ListParagraph"/>
              <w:numPr>
                <w:ilvl w:val="1"/>
                <w:numId w:val="42"/>
              </w:numPr>
            </w:pPr>
            <w:r>
              <w:rPr/>
              <w:t xml:space="preserve">standaard onthaalformules gebruiken</w:t>
            </w:r>
          </w:p>
          <w:p>
            <w:pPr>
              <w:pStyle w:val="ListParagraph"/>
              <w:numPr>
                <w:ilvl w:val="1"/>
                <w:numId w:val="42"/>
              </w:numPr>
            </w:pPr>
            <w:r>
              <w:rPr/>
              <w:t xml:space="preserve">doorverbinden aan de hand van standaarduitdrukkingen</w:t>
            </w:r>
          </w:p>
          <w:p>
            <w:pPr>
              <w:pStyle w:val="ListParagraph"/>
              <w:numPr>
                <w:ilvl w:val="1"/>
                <w:numId w:val="42"/>
              </w:numPr>
            </w:pPr>
            <w:r>
              <w:rPr/>
              <w:t xml:space="preserve">afsluitformules gebruiken</w:t>
            </w:r>
          </w:p>
          <w:p>
            <w:pPr>
              <w:pStyle w:val="ListParagraph"/>
              <w:numPr>
                <w:ilvl w:val="1"/>
                <w:numId w:val="42"/>
              </w:numPr>
            </w:pPr>
            <w:r>
              <w:rPr/>
              <w:t xml:space="preserve">de regels om klantvriendelijk en correct te telefoneren gebruiken</w:t>
            </w:r>
          </w:p>
          <w:p>
            <w:pPr>
              <w:pStyle w:val="ListParagraph"/>
              <w:numPr>
                <w:ilvl w:val="1"/>
                <w:numId w:val="42"/>
              </w:numPr>
            </w:pPr>
            <w:r>
              <w:rPr/>
              <w:t xml:space="preserve">een telefoonnotitie invullen</w:t>
            </w:r>
          </w:p>
          <w:p>
            <w:pPr>
              <w:pStyle w:val="ListParagraph"/>
              <w:numPr>
                <w:ilvl w:val="0"/>
                <w:numId w:val="42"/>
              </w:numPr>
            </w:pPr>
            <w:r>
              <w:rPr/>
              <w:t xml:space="preserve">Een zakelijk telefoongesprek voeren door blokken tekst oordeelkundig te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van soorten telefoons 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gegeven teksten overeenkomsten en verschillen en voor- en nadelen vergelijken van verschillende soorten telefoons en aanverwante toestellen: standaardtelefoon, draadloze telefoon, gsm, antwoordapparaat, …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E-mail.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4"/>
              </w:numPr>
            </w:pPr>
            <w:r>
              <w:rPr/>
              <w:t xml:space="preserve">Opsommen met welke communicatiesoftware e-mails kunnen verzonden en ontvangen worden.</w:t>
            </w:r>
          </w:p>
          <w:p>
            <w:pPr>
              <w:pStyle w:val="ListParagraph"/>
              <w:numPr>
                <w:ilvl w:val="0"/>
                <w:numId w:val="44"/>
              </w:numPr>
            </w:pPr>
            <w:r>
              <w:rPr/>
              <w:t xml:space="preserve">Berichtpictogrammen voor e-mails herkennen en benoemen.</w:t>
            </w:r>
          </w:p>
          <w:p>
            <w:pPr>
              <w:pStyle w:val="ListParagraph"/>
              <w:numPr>
                <w:ilvl w:val="0"/>
                <w:numId w:val="44"/>
              </w:numPr>
            </w:pPr>
            <w:r>
              <w:rPr/>
              <w:t xml:space="preserve">Beschrijven hoe je mails kan ontvangen en beantwoorden.</w:t>
            </w:r>
          </w:p>
          <w:p>
            <w:pPr>
              <w:pStyle w:val="ListParagraph"/>
              <w:numPr>
                <w:ilvl w:val="0"/>
                <w:numId w:val="44"/>
              </w:numPr>
            </w:pPr>
            <w:r>
              <w:rPr/>
              <w:t xml:space="preserve">Herkennen en benoemen hoe je afzender(s), meerdere ontvangers, bijlagen, in cc, in bcc, met leesbevestiging, het aangeven van prioriteit gebruikt bij het versturen van een e-mail.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E-mails klasseren in mappen.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situatieschets ontvangen en verzonden e-mails in mappen bewaren.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Kantoortechnieken is een digitaal examen. </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w:t>
      </w:r>
    </w:p>
    <w:p>
      <w:pPr>
        <w:jc w:val="both"/>
      </w:pPr>
      <w:r>
        <w:t xml:space="preserve">Digitale rekenmachine op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w:t>
      </w:r>
    </w:p>
    <w:p>
      <w:pPr>
        <w:jc w:val="both"/>
      </w:pPr>
      <w:r>
        <w:t xml:space="preserve">Er is geen giscorrectie.</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Overige afspraken:</w:t>
      </w:r>
    </w:p>
    <w:p>
      <w:pPr>
        <w:jc w:val="both"/>
      </w:pPr>
      <w:r>
        <w:t xml:space="preserve"/>
      </w:r>
    </w:p>
    <w:p>
      <w:pPr>
        <w:jc w:val="both"/>
      </w:pPr>
      <w:r>
        <w:t xml:space="preserve">- Getallen worden afgerond tot twee cijfers na de komma.</w:t>
      </w:r>
    </w:p>
    <w:p>
      <w:pPr>
        <w:jc w:val="both"/>
      </w:pPr>
      <w:r>
        <w:t xml:space="preserve">- Vakterminologie moet correct gespeld worden.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 Bedrijven en hun werkzaamheden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 De kantooromgeving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 De postbehandeling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 Het klassement en het archief</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 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Kantoortechnieken bso3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Kantoortechnieken bso4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Actie! 3/4 Office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Actie! 4 Office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 &amp; Company 3.1</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Toelichting</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www.bpost.be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www.bpost.be/adressering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juiste structuur van het adres.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www.bpost.be/tarieven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meest recente posttarieven.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www.bestetarief.be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Telefoontarieven van verschillende providers vergelijken.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www.taaltelefoon.be/bin-normen-brief-zakelijke-brief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Toepassing NBN-normen.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