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 definitie en indeling farmacologie</w:t>
            </w:r>
          </w:p>
          <w:p>
            <w:pPr>
              <w:pStyle w:val="ListParagraph"/>
              <w:numPr>
                <w:ilvl w:val="0"/>
                <w:numId w:val="8"/>
              </w:numPr>
            </w:pPr>
            <w:r>
              <w:rPr/>
              <w:t xml:space="preserve">vakeigen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verschillende behandelmethodes: causaal, symptomatisch, preventief en diagnostisch gebruik van geneesmiddelen</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w:t>
            </w:r>
          </w:p>
          <w:p>
            <w:pPr>
              <w:pStyle w:val="ListParagraph"/>
              <w:numPr>
                <w:ilvl w:val="0"/>
                <w:numId w:val="11"/>
              </w:numPr>
            </w:pPr>
            <w:r>
              <w:rPr/>
              <w:t xml:space="preserve">de vakeigen termen omschrijven en toepassen</w:t>
            </w:r>
          </w:p>
          <w:p>
            <w:pPr>
              <w:pStyle w:val="ListParagraph"/>
              <w:numPr>
                <w:ilvl w:val="1"/>
                <w:numId w:val="11"/>
              </w:numPr>
            </w:pPr>
            <w:r>
              <w:rPr/>
              <w:t xml:space="preserve">receptor agonist en antagonist</w:t>
            </w:r>
          </w:p>
          <w:p>
            <w:pPr>
              <w:pStyle w:val="ListParagraph"/>
              <w:numPr>
                <w:ilvl w:val="1"/>
                <w:numId w:val="11"/>
              </w:numPr>
            </w:pPr>
            <w:r>
              <w:rPr/>
              <w:t xml:space="preserve">first-pass-effect</w:t>
            </w:r>
          </w:p>
          <w:p>
            <w:pPr>
              <w:pStyle w:val="ListParagraph"/>
              <w:numPr>
                <w:ilvl w:val="1"/>
                <w:numId w:val="11"/>
              </w:numPr>
            </w:pPr>
            <w:r>
              <w:rPr/>
              <w:t xml:space="preserve">halfwaardetijd</w:t>
            </w:r>
          </w:p>
          <w:p>
            <w:pPr>
              <w:pStyle w:val="ListParagraph"/>
              <w:numPr>
                <w:ilvl w:val="1"/>
                <w:numId w:val="11"/>
              </w:numPr>
            </w:pPr>
            <w:r>
              <w:rPr/>
              <w:t xml:space="preserve">biologische beschikbaarheid</w:t>
            </w:r>
          </w:p>
          <w:p>
            <w:pPr>
              <w:pStyle w:val="ListParagraph"/>
              <w:numPr>
                <w:ilvl w:val="1"/>
                <w:numId w:val="11"/>
              </w:numPr>
            </w:pPr>
            <w:r>
              <w:rPr/>
              <w:t xml:space="preserve">plasmaspiegel</w:t>
            </w:r>
          </w:p>
          <w:p>
            <w:pPr>
              <w:pStyle w:val="ListParagraph"/>
              <w:numPr>
                <w:ilvl w:val="1"/>
                <w:numId w:val="11"/>
              </w:numPr>
            </w:pPr>
            <w:r>
              <w:rPr/>
              <w:t xml:space="preserve">therapeutische breedte</w:t>
            </w:r>
          </w:p>
          <w:p>
            <w:pPr>
              <w:pStyle w:val="ListParagraph"/>
              <w:numPr>
                <w:ilvl w:val="1"/>
                <w:numId w:val="11"/>
              </w:numPr>
            </w:pPr>
            <w:r>
              <w:rPr/>
              <w:t xml:space="preserve">biotransformatie</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r>
          </w:p>
          <w:p>
            <w:pPr>
              <w:pStyle w:val="ListParagraph"/>
              <w:numPr>
                <w:ilvl w:val="0"/>
                <w:numId w:val="12"/>
              </w:numPr>
            </w:pPr>
            <w:r>
              <w:rPr/>
              <w:t xml:space="preserve">neurotransmitters: acetylcholine, noradrenaline, dopamine, serotonine</w:t>
            </w:r>
          </w:p>
          <w:p>
            <w:pPr>
              <w:pStyle w:val="ListParagraph"/>
              <w:numPr>
                <w:ilvl w:val="0"/>
                <w:numId w:val="12"/>
              </w:numPr>
            </w:pPr>
            <w:r>
              <w:rPr/>
              <w:t xml:space="preserve">muscarine-,α -, ß1 - en ß2 - receptoren</w:t>
            </w:r>
          </w:p>
          <w:p>
            <w:pPr>
              <w:pStyle w:val="ListParagraph"/>
              <w:numPr>
                <w:ilvl w:val="0"/>
                <w:numId w:val="12"/>
              </w:numPr>
            </w:pPr>
            <w:r>
              <w:rPr/>
              <w:t xml:space="preserve">vakspecifieke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t>
            </w:r>
          </w:p>
          <w:p>
            <w:pPr>
              <w:pStyle w:val="ListParagraph"/>
              <w:numPr>
                <w:ilvl w:val="0"/>
                <w:numId w:val="13"/>
              </w:numPr>
            </w:pPr>
            <w:r>
              <w:rPr/>
              <w:t xml:space="preserve">de begrippen neurotransmitters en muscarine-, α -, ß1 - en ß2 - receptoren omschrijven</w:t>
            </w:r>
          </w:p>
          <w:p>
            <w:pPr>
              <w:pStyle w:val="ListParagraph"/>
              <w:numPr>
                <w:ilvl w:val="0"/>
                <w:numId w:val="13"/>
              </w:numPr>
            </w:pPr>
            <w:r>
              <w:rPr/>
              <w:t xml:space="preserve">de vakspecifieke termen omschrijven en toepassen</w:t>
            </w:r>
          </w:p>
          <w:p>
            <w:pPr>
              <w:pStyle w:val="ListParagraph"/>
              <w:numPr>
                <w:ilvl w:val="1"/>
                <w:numId w:val="13"/>
              </w:numPr>
            </w:pPr>
            <w:r>
              <w:rPr/>
              <w:t xml:space="preserve">cholinergica of parasympathicomimetica</w:t>
            </w:r>
          </w:p>
          <w:p>
            <w:pPr>
              <w:pStyle w:val="ListParagraph"/>
              <w:numPr>
                <w:ilvl w:val="1"/>
                <w:numId w:val="13"/>
              </w:numPr>
            </w:pPr>
            <w:r>
              <w:rPr/>
              <w:t xml:space="preserve">cholinolytica, anticholinergica of parasympathicolytica</w:t>
            </w:r>
          </w:p>
          <w:p>
            <w:pPr>
              <w:pStyle w:val="ListParagraph"/>
              <w:numPr>
                <w:ilvl w:val="1"/>
                <w:numId w:val="13"/>
              </w:numPr>
            </w:pPr>
            <w:r>
              <w:rPr/>
              <w:t xml:space="preserve">adrenergica of sympathicomimetica</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Wat je vooraf moet weten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Je hebt tijdens het examen het digitale "Gecommentarieerd Geneesmiddelen Repertorium" ter beschikking om vragen op te lossen. Het repertorium kan je bij de voorbereiding van het examen raadplegen op https://www.bcfi.be/nl/chapters.</w:t>
        <w:br/>
        <w:t xml:space="preserve"/>
        <w:br/>
        <w:t xml:space="preserve">Tijdens het examen kan je op het informatiescherm de link naar het repertorium activeren. Moet je dan geen parate kennis hebben? Toch wel, vooral van OTC-producten, die vrij af te leveren zijn.</w:t>
        <w:br/>
        <w:t xml:space="preserve"/>
        <w:br/>
        <w:t xml:space="preserve">Dit repertorium is uitgebracht door Het Belgisch Centrum voor Farmacotherapeutische Informatie (BCFI) en wordt op regelmatige basis geactualiseerd.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cardiovasculaire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2"/>
                <w:numId w:val="14"/>
              </w:numPr>
            </w:pPr>
            <w:r>
              <w:rPr/>
              <w:t xml:space="preserve">kaliumverliezende diuretica</w:t>
            </w:r>
          </w:p>
          <w:p>
            <w:pPr>
              <w:pStyle w:val="ListParagraph"/>
              <w:numPr>
                <w:ilvl w:val="2"/>
                <w:numId w:val="14"/>
              </w:numPr>
            </w:pPr>
            <w:r>
              <w:rPr/>
              <w:t xml:space="preserve">kaliumsparende 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w:t>
            </w:r>
          </w:p>
          <w:p>
            <w:pPr>
              <w:pStyle w:val="ListParagraph"/>
              <w:numPr>
                <w:ilvl w:val="0"/>
                <w:numId w:val="15"/>
              </w:numPr>
            </w:pPr>
            <w:r>
              <w:rPr/>
              <w:t xml:space="preserve">ernstige bijwerkingen van de hoofdgroepen en subgroepen opsommen</w:t>
            </w:r>
          </w:p>
          <w:p>
            <w:pPr>
              <w:pStyle w:val="ListParagraph"/>
              <w:numPr>
                <w:ilvl w:val="0"/>
                <w:numId w:val="15"/>
              </w:numPr>
            </w:pPr>
            <w:r>
              <w:rPr/>
              <w:t xml:space="preserve">voor elke hoofdgroep en subgroep het algemeen gebruiksadvies kunnen geven (bijvoorbeeld moment van inname, bij de maaltijd of nuchter, …)</w:t>
            </w:r>
          </w:p>
          <w:p>
            <w:pPr>
              <w:pStyle w:val="ListParagraph"/>
              <w:numPr>
                <w:ilvl w:val="0"/>
                <w:numId w:val="15"/>
              </w:numPr>
            </w:pPr>
            <w:r>
              <w:rPr/>
              <w:t xml:space="preserve">voor elke hoofdgroep en subgroep voorbeelden geven</w:t>
            </w:r>
          </w:p>
          <w:p>
            <w:pPr>
              <w:pStyle w:val="ListParagraph"/>
              <w:numPr>
                <w:ilvl w:val="0"/>
                <w:numId w:val="1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bloed en stolling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 antitrombotica</w:t>
            </w:r>
          </w:p>
          <w:p>
            <w:pPr>
              <w:pStyle w:val="ListParagraph"/>
              <w:numPr>
                <w:ilvl w:val="1"/>
                <w:numId w:val="16"/>
              </w:numPr>
            </w:pPr>
            <w:r>
              <w:rPr/>
              <w:t xml:space="preserve">anti-aggregantia</w:t>
            </w:r>
          </w:p>
          <w:p>
            <w:pPr>
              <w:pStyle w:val="ListParagraph"/>
              <w:numPr>
                <w:ilvl w:val="2"/>
                <w:numId w:val="16"/>
              </w:numPr>
            </w:pPr>
            <w:r>
              <w:rPr/>
              <w:t xml:space="preserve">acetylsalicylzuur</w:t>
            </w:r>
          </w:p>
          <w:p>
            <w:pPr>
              <w:pStyle w:val="ListParagraph"/>
              <w:numPr>
                <w:ilvl w:val="2"/>
                <w:numId w:val="16"/>
              </w:numPr>
            </w:pPr>
            <w:r>
              <w:rPr/>
              <w:t xml:space="preserve">clopidogrel</w:t>
            </w:r>
          </w:p>
          <w:p>
            <w:pPr>
              <w:pStyle w:val="ListParagraph"/>
              <w:numPr>
                <w:ilvl w:val="1"/>
                <w:numId w:val="16"/>
              </w:numPr>
            </w:pPr>
            <w:r>
              <w:rPr/>
              <w:t xml:space="preserve">anticoagulantia</w:t>
            </w:r>
          </w:p>
          <w:p>
            <w:pPr>
              <w:pStyle w:val="ListParagraph"/>
              <w:numPr>
                <w:ilvl w:val="2"/>
                <w:numId w:val="16"/>
              </w:numPr>
            </w:pPr>
            <w:r>
              <w:rPr/>
              <w:t xml:space="preserve">coumarine afgeleiden</w:t>
            </w:r>
          </w:p>
          <w:p>
            <w:pPr>
              <w:pStyle w:val="ListParagraph"/>
              <w:numPr>
                <w:ilvl w:val="2"/>
                <w:numId w:val="16"/>
              </w:numPr>
            </w:pPr>
            <w:r>
              <w:rPr/>
              <w:t xml:space="preserve">direct werkende orale anticoagulantia</w:t>
            </w:r>
          </w:p>
          <w:p>
            <w:pPr>
              <w:pStyle w:val="ListParagraph"/>
              <w:numPr>
                <w:ilvl w:val="2"/>
                <w:numId w:val="16"/>
              </w:numPr>
            </w:pPr>
            <w:r>
              <w:rPr/>
              <w:t xml:space="preserve">heparine afgeleiden</w:t>
            </w:r>
          </w:p>
          <w:p>
            <w:pPr>
              <w:pStyle w:val="ListParagraph"/>
              <w:numPr>
                <w:ilvl w:val="1"/>
                <w:numId w:val="16"/>
              </w:numPr>
            </w:pPr>
            <w:r>
              <w:rPr/>
              <w:t xml:space="preserve">trombolytica</w:t>
            </w:r>
          </w:p>
          <w:p>
            <w:pPr>
              <w:pStyle w:val="ListParagraph"/>
              <w:numPr>
                <w:ilvl w:val="0"/>
                <w:numId w:val="16"/>
              </w:numPr>
            </w:pPr>
            <w:r>
              <w:rPr/>
              <w:t xml:space="preserve">antihemorragica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betekenis van INR-waarde kennen en de invloed van de verschillende hoofdgroepen en subgroepen op de INR-waarde kunnen verklaren</w:t>
            </w:r>
          </w:p>
          <w:p>
            <w:pPr>
              <w:pStyle w:val="ListParagraph"/>
              <w:numPr>
                <w:ilvl w:val="0"/>
                <w:numId w:val="17"/>
              </w:numPr>
            </w:pPr>
            <w:r>
              <w:rPr/>
              <w:t xml:space="preserve">voor elke hoofdgroep en subgroep het algemeen gebruiksadvies geven (bijvoorbeeld moment van inname, bij de maaltijd of nuchter, …)</w:t>
            </w:r>
          </w:p>
          <w:p>
            <w:pPr>
              <w:pStyle w:val="ListParagraph"/>
              <w:numPr>
                <w:ilvl w:val="0"/>
                <w:numId w:val="17"/>
              </w:numPr>
            </w:pPr>
            <w:r>
              <w:rPr/>
              <w:t xml:space="preserve">voor elke hoofdgroep en subgroep voorbeelden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maag-darmpathologiëen</w:t>
            </w:r>
          </w:p>
          <w:p>
            <w:pPr>
              <w:pStyle w:val="ListParagraph"/>
              <w:numPr>
                <w:ilvl w:val="1"/>
                <w:numId w:val="18"/>
              </w:numPr>
            </w:pPr>
            <w:r>
              <w:rPr/>
              <w:t xml:space="preserve">protonpompinhibitoren</w:t>
            </w:r>
          </w:p>
          <w:p>
            <w:pPr>
              <w:pStyle w:val="ListParagraph"/>
              <w:numPr>
                <w:ilvl w:val="1"/>
                <w:numId w:val="18"/>
              </w:numPr>
            </w:pPr>
            <w:r>
              <w:rPr/>
              <w:t xml:space="preserve">antacida</w:t>
            </w:r>
          </w:p>
          <w:p>
            <w:pPr>
              <w:pStyle w:val="ListParagraph"/>
              <w:numPr>
                <w:ilvl w:val="0"/>
                <w:numId w:val="18"/>
              </w:numPr>
            </w:pPr>
            <w:r>
              <w:rPr/>
              <w:t xml:space="preserve">spasmolytica</w:t>
            </w:r>
          </w:p>
          <w:p>
            <w:pPr>
              <w:pStyle w:val="ListParagraph"/>
              <w:numPr>
                <w:ilvl w:val="0"/>
                <w:numId w:val="18"/>
              </w:numPr>
            </w:pPr>
            <w:r>
              <w:rPr/>
              <w:t xml:space="preserve">anti-emetica</w:t>
            </w:r>
          </w:p>
          <w:p>
            <w:pPr>
              <w:pStyle w:val="ListParagraph"/>
              <w:numPr>
                <w:ilvl w:val="1"/>
                <w:numId w:val="18"/>
              </w:numPr>
            </w:pPr>
            <w:r>
              <w:rPr/>
              <w:t xml:space="preserve">gastroprokinetica</w:t>
            </w:r>
          </w:p>
          <w:p>
            <w:pPr>
              <w:pStyle w:val="ListParagraph"/>
              <w:numPr>
                <w:ilvl w:val="1"/>
                <w:numId w:val="18"/>
              </w:numPr>
            </w:pPr>
            <w:r>
              <w:rPr/>
              <w:t xml:space="preserve">middelen bij reisziekte</w:t>
            </w:r>
          </w:p>
          <w:p>
            <w:pPr>
              <w:pStyle w:val="ListParagraph"/>
              <w:numPr>
                <w:ilvl w:val="0"/>
                <w:numId w:val="18"/>
              </w:numPr>
            </w:pPr>
            <w:r>
              <w:rPr/>
              <w:t xml:space="preserve">laxativa</w:t>
            </w:r>
          </w:p>
          <w:p>
            <w:pPr>
              <w:pStyle w:val="ListParagraph"/>
              <w:numPr>
                <w:ilvl w:val="1"/>
                <w:numId w:val="18"/>
              </w:numPr>
            </w:pPr>
            <w:r>
              <w:rPr/>
              <w:t xml:space="preserve">zwelmiddelen</w:t>
            </w:r>
          </w:p>
          <w:p>
            <w:pPr>
              <w:pStyle w:val="ListParagraph"/>
              <w:numPr>
                <w:ilvl w:val="1"/>
                <w:numId w:val="18"/>
              </w:numPr>
            </w:pPr>
            <w:r>
              <w:rPr/>
              <w:t xml:space="preserve">osmotische laxativa</w:t>
            </w:r>
          </w:p>
          <w:p>
            <w:pPr>
              <w:pStyle w:val="ListParagraph"/>
              <w:numPr>
                <w:ilvl w:val="1"/>
                <w:numId w:val="18"/>
              </w:numPr>
            </w:pPr>
            <w:r>
              <w:rPr/>
              <w:t xml:space="preserve">contactlaxativa</w:t>
            </w:r>
          </w:p>
          <w:p>
            <w:pPr>
              <w:pStyle w:val="ListParagraph"/>
              <w:numPr>
                <w:ilvl w:val="1"/>
                <w:numId w:val="18"/>
              </w:numPr>
            </w:pPr>
            <w:r>
              <w:rPr/>
              <w:t xml:space="preserve">rectale laxativa</w:t>
            </w:r>
          </w:p>
          <w:p>
            <w:pPr>
              <w:pStyle w:val="ListParagraph"/>
              <w:numPr>
                <w:ilvl w:val="0"/>
                <w:numId w:val="18"/>
              </w:numPr>
            </w:pPr>
            <w:r>
              <w:rPr/>
              <w:t xml:space="preserve">antidiarreïca</w:t>
            </w:r>
          </w:p>
          <w:p>
            <w:pPr>
              <w:pStyle w:val="ListParagraph"/>
              <w:numPr>
                <w:ilvl w:val="1"/>
                <w:numId w:val="18"/>
              </w:numPr>
            </w:pPr>
            <w:r>
              <w:rPr/>
              <w:t xml:space="preserve">adsorbantia</w:t>
            </w:r>
          </w:p>
          <w:p>
            <w:pPr>
              <w:pStyle w:val="ListParagraph"/>
              <w:numPr>
                <w:ilvl w:val="1"/>
                <w:numId w:val="18"/>
              </w:numPr>
            </w:pPr>
            <w:r>
              <w:rPr/>
              <w:t xml:space="preserve">probiotica</w:t>
            </w:r>
          </w:p>
          <w:p>
            <w:pPr>
              <w:pStyle w:val="ListParagraph"/>
              <w:numPr>
                <w:ilvl w:val="1"/>
                <w:numId w:val="18"/>
              </w:numPr>
            </w:pPr>
            <w:r>
              <w:rPr/>
              <w:t xml:space="preserve">transitinhibitoren</w:t>
            </w:r>
          </w:p>
          <w:p>
            <w:pPr>
              <w:pStyle w:val="ListParagraph"/>
              <w:numPr>
                <w:ilvl w:val="0"/>
                <w:numId w:val="18"/>
              </w:numPr>
            </w:pPr>
            <w:r>
              <w:rPr/>
              <w:t xml:space="preserve">middelen bij inflammatoir darmlijden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het algemeen gebruiksadvies kunnen geven (bijvoorbeeld moment van inname, bij de maaltijd of nuchter, …)</w:t>
            </w:r>
          </w:p>
          <w:p>
            <w:pPr>
              <w:pStyle w:val="ListParagraph"/>
              <w:numPr>
                <w:ilvl w:val="0"/>
                <w:numId w:val="19"/>
              </w:numPr>
            </w:pPr>
            <w:r>
              <w:rPr/>
              <w:t xml:space="preserve">voor elke hoofdgroep en subgroep voorbeelden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astma en COPD</w:t>
            </w:r>
          </w:p>
          <w:p>
            <w:pPr>
              <w:pStyle w:val="ListParagraph"/>
              <w:numPr>
                <w:ilvl w:val="1"/>
                <w:numId w:val="20"/>
              </w:numPr>
            </w:pPr>
            <w:r>
              <w:rPr/>
              <w:t xml:space="preserve">sympathicomimetica</w:t>
            </w:r>
          </w:p>
          <w:p>
            <w:pPr>
              <w:pStyle w:val="ListParagraph"/>
              <w:numPr>
                <w:ilvl w:val="1"/>
                <w:numId w:val="20"/>
              </w:numPr>
            </w:pPr>
            <w:r>
              <w:rPr/>
              <w:t xml:space="preserve">anticholinergica</w:t>
            </w:r>
          </w:p>
          <w:p>
            <w:pPr>
              <w:pStyle w:val="ListParagraph"/>
              <w:numPr>
                <w:ilvl w:val="1"/>
                <w:numId w:val="20"/>
              </w:numPr>
            </w:pPr>
            <w:r>
              <w:rPr/>
              <w:t xml:space="preserve">inhalatiecorticosteroïden</w:t>
            </w:r>
          </w:p>
          <w:p>
            <w:pPr>
              <w:pStyle w:val="ListParagraph"/>
              <w:numPr>
                <w:ilvl w:val="1"/>
                <w:numId w:val="20"/>
              </w:numPr>
            </w:pPr>
            <w:r>
              <w:rPr/>
              <w:t xml:space="preserve">leukotrieenreceptorantagonisten</w:t>
            </w:r>
          </w:p>
          <w:p>
            <w:pPr>
              <w:pStyle w:val="ListParagraph"/>
              <w:numPr>
                <w:ilvl w:val="1"/>
                <w:numId w:val="20"/>
              </w:numPr>
            </w:pPr>
            <w:r>
              <w:rPr/>
              <w:t xml:space="preserve">combinatiepreparaten</w:t>
            </w:r>
          </w:p>
          <w:p>
            <w:pPr>
              <w:pStyle w:val="ListParagraph"/>
              <w:numPr>
                <w:ilvl w:val="0"/>
                <w:numId w:val="20"/>
              </w:numPr>
            </w:pPr>
            <w:r>
              <w:rPr/>
              <w:t xml:space="preserve">middelen bij hoest</w:t>
            </w:r>
          </w:p>
          <w:p>
            <w:pPr>
              <w:pStyle w:val="ListParagraph"/>
              <w:numPr>
                <w:ilvl w:val="1"/>
                <w:numId w:val="20"/>
              </w:numPr>
            </w:pPr>
            <w:r>
              <w:rPr/>
              <w:t xml:space="preserve">antitussiva, 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het algemeen gebruiksadvies kunnen geven (bijvoorbeeld moment van inname, bij de maaltijd of nuchter, …)</w:t>
            </w:r>
          </w:p>
          <w:p>
            <w:pPr>
              <w:pStyle w:val="ListParagraph"/>
              <w:numPr>
                <w:ilvl w:val="0"/>
                <w:numId w:val="21"/>
              </w:numPr>
            </w:pPr>
            <w:r>
              <w:rPr/>
              <w:t xml:space="preserve">voor elke hoofdgroep en subgroep  voorbeelden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diabetes</w:t>
            </w:r>
          </w:p>
          <w:p>
            <w:pPr>
              <w:pStyle w:val="ListParagraph"/>
              <w:numPr>
                <w:ilvl w:val="1"/>
                <w:numId w:val="22"/>
              </w:numPr>
            </w:pPr>
            <w:r>
              <w:rPr/>
              <w:t xml:space="preserve">insuline</w:t>
            </w:r>
          </w:p>
          <w:p>
            <w:pPr>
              <w:pStyle w:val="ListParagraph"/>
              <w:numPr>
                <w:ilvl w:val="1"/>
                <w:numId w:val="22"/>
              </w:numPr>
            </w:pPr>
            <w:r>
              <w:rPr/>
              <w:t xml:space="preserve">metformine</w:t>
            </w:r>
          </w:p>
          <w:p>
            <w:pPr>
              <w:pStyle w:val="ListParagraph"/>
              <w:numPr>
                <w:ilvl w:val="1"/>
                <w:numId w:val="22"/>
              </w:numPr>
            </w:pPr>
            <w:r>
              <w:rPr/>
              <w:t xml:space="preserve">hypoglykemiërende sulfamiden</w:t>
            </w:r>
          </w:p>
          <w:p>
            <w:pPr>
              <w:pStyle w:val="ListParagraph"/>
              <w:numPr>
                <w:ilvl w:val="1"/>
                <w:numId w:val="22"/>
              </w:numPr>
            </w:pPr>
            <w:r>
              <w:rPr/>
              <w:t xml:space="preserve">gliniden</w:t>
            </w:r>
          </w:p>
          <w:p>
            <w:pPr>
              <w:pStyle w:val="ListParagraph"/>
              <w:numPr>
                <w:ilvl w:val="1"/>
                <w:numId w:val="22"/>
              </w:numPr>
            </w:pPr>
            <w:r>
              <w:rPr/>
              <w:t xml:space="preserve">incretinemimetica</w:t>
            </w:r>
          </w:p>
          <w:p>
            <w:pPr>
              <w:pStyle w:val="ListParagraph"/>
              <w:numPr>
                <w:ilvl w:val="1"/>
                <w:numId w:val="22"/>
              </w:numPr>
            </w:pPr>
            <w:r>
              <w:rPr/>
              <w:t xml:space="preserve"> DPP4-inhibitoren</w:t>
            </w:r>
          </w:p>
          <w:p>
            <w:pPr>
              <w:pStyle w:val="ListParagraph"/>
              <w:numPr>
                <w:ilvl w:val="1"/>
                <w:numId w:val="22"/>
              </w:numPr>
            </w:pPr>
            <w:r>
              <w:rPr/>
              <w:t xml:space="preserve">SGLT2-inhibitoren</w:t>
            </w:r>
          </w:p>
          <w:p>
            <w:pPr>
              <w:pStyle w:val="ListParagraph"/>
              <w:numPr>
                <w:ilvl w:val="1"/>
                <w:numId w:val="22"/>
              </w:numPr>
            </w:pPr>
            <w:r>
              <w:rPr/>
              <w:t xml:space="preserve">hyperglykemiërende middelen</w:t>
            </w:r>
          </w:p>
          <w:p>
            <w:pPr>
              <w:pStyle w:val="ListParagraph"/>
              <w:numPr>
                <w:ilvl w:val="0"/>
                <w:numId w:val="22"/>
              </w:numPr>
            </w:pPr>
            <w:r>
              <w:rPr/>
              <w:t xml:space="preserve">middelen bij schildklierpathologie</w:t>
            </w:r>
          </w:p>
          <w:p>
            <w:pPr>
              <w:pStyle w:val="ListParagraph"/>
              <w:numPr>
                <w:ilvl w:val="1"/>
                <w:numId w:val="22"/>
              </w:numPr>
            </w:pPr>
            <w:r>
              <w:rPr/>
              <w:t xml:space="preserve">thyreomimetica</w:t>
            </w:r>
          </w:p>
          <w:p>
            <w:pPr>
              <w:pStyle w:val="ListParagraph"/>
              <w:numPr>
                <w:ilvl w:val="1"/>
                <w:numId w:val="22"/>
              </w:numPr>
            </w:pPr>
            <w:r>
              <w:rPr/>
              <w:t xml:space="preserve">thyreostatica</w:t>
            </w:r>
          </w:p>
          <w:p>
            <w:pPr>
              <w:pStyle w:val="ListParagraph"/>
              <w:numPr>
                <w:ilvl w:val="1"/>
                <w:numId w:val="22"/>
              </w:numPr>
            </w:pPr>
            <w:r>
              <w:rPr/>
              <w:t xml:space="preserve">jood</w:t>
            </w:r>
          </w:p>
          <w:p>
            <w:pPr>
              <w:pStyle w:val="ListParagraph"/>
              <w:numPr>
                <w:ilvl w:val="0"/>
                <w:numId w:val="22"/>
              </w:numPr>
            </w:pPr>
            <w:r>
              <w:rPr/>
              <w:t xml:space="preserve">geslachtshormonen</w:t>
            </w:r>
          </w:p>
          <w:p>
            <w:pPr>
              <w:pStyle w:val="ListParagraph"/>
              <w:numPr>
                <w:ilvl w:val="1"/>
                <w:numId w:val="22"/>
              </w:numPr>
            </w:pPr>
            <w:r>
              <w:rPr/>
              <w:t xml:space="preserve">oestrogeen</w:t>
            </w:r>
          </w:p>
          <w:p>
            <w:pPr>
              <w:pStyle w:val="ListParagraph"/>
              <w:numPr>
                <w:ilvl w:val="1"/>
                <w:numId w:val="22"/>
              </w:numPr>
            </w:pPr>
            <w:r>
              <w:rPr/>
              <w:t xml:space="preserve">selectieve oestrogeenreceptor modulatoren (SERM)</w:t>
            </w:r>
          </w:p>
          <w:p>
            <w:pPr>
              <w:pStyle w:val="ListParagraph"/>
              <w:numPr>
                <w:ilvl w:val="1"/>
                <w:numId w:val="22"/>
              </w:numPr>
            </w:pPr>
            <w:r>
              <w:rPr/>
              <w:t xml:space="preserve">androgenen en anabole steroïden</w:t>
            </w:r>
          </w:p>
          <w:p>
            <w:pPr>
              <w:pStyle w:val="ListParagraph"/>
              <w:numPr>
                <w:ilvl w:val="1"/>
                <w:numId w:val="22"/>
              </w:numPr>
            </w:pPr>
            <w:r>
              <w:rPr/>
              <w:t xml:space="preserve">anti-androgenen</w:t>
            </w:r>
          </w:p>
          <w:p>
            <w:pPr>
              <w:pStyle w:val="ListParagraph"/>
              <w:numPr>
                <w:ilvl w:val="0"/>
                <w:numId w:val="22"/>
              </w:numPr>
            </w:pPr>
            <w:r>
              <w:rPr/>
              <w:t xml:space="preserve">corticoïden</w:t>
            </w:r>
          </w:p>
          <w:p>
            <w:pPr>
              <w:pStyle w:val="ListParagraph"/>
              <w:numPr>
                <w:ilvl w:val="0"/>
                <w:numId w:val="22"/>
              </w:numPr>
            </w:pPr>
            <w:r>
              <w:rPr/>
              <w:t xml:space="preserve">hypofysaire en hypothalame hormonen</w:t>
            </w:r>
          </w:p>
          <w:p>
            <w:pPr>
              <w:pStyle w:val="ListParagraph"/>
              <w:numPr>
                <w:ilvl w:val="1"/>
                <w:numId w:val="22"/>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het algemeen gebruiksadvies kunnen geven (bijvoorbeeld moment van inname, bij de maaltijd of nuchter, gebruiksduur, …)</w:t>
            </w:r>
          </w:p>
          <w:p>
            <w:pPr>
              <w:pStyle w:val="ListParagraph"/>
              <w:numPr>
                <w:ilvl w:val="0"/>
                <w:numId w:val="23"/>
              </w:numPr>
            </w:pPr>
            <w:r>
              <w:rPr/>
              <w:t xml:space="preserve">voor elke hoofdgroep en subgroep voorbeelden geven</w:t>
            </w:r>
          </w:p>
          <w:p>
            <w:pPr>
              <w:pStyle w:val="ListParagraph"/>
              <w:numPr>
                <w:ilvl w:val="0"/>
                <w:numId w:val="2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middelen bij vulvovaginale aandoeningen</w:t>
            </w:r>
          </w:p>
          <w:p>
            <w:pPr>
              <w:pStyle w:val="ListParagraph"/>
              <w:numPr>
                <w:ilvl w:val="1"/>
                <w:numId w:val="24"/>
              </w:numPr>
            </w:pPr>
            <w:r>
              <w:rPr/>
              <w:t xml:space="preserve">middelen bij candida-vaginitis</w:t>
            </w:r>
          </w:p>
          <w:p>
            <w:pPr>
              <w:pStyle w:val="ListParagraph"/>
              <w:numPr>
                <w:ilvl w:val="1"/>
                <w:numId w:val="24"/>
              </w:numPr>
            </w:pPr>
            <w:r>
              <w:rPr/>
              <w:t xml:space="preserve">middelen bij bacteriële vaginose</w:t>
            </w:r>
          </w:p>
          <w:p>
            <w:pPr>
              <w:pStyle w:val="ListParagraph"/>
              <w:numPr>
                <w:ilvl w:val="0"/>
                <w:numId w:val="24"/>
              </w:numPr>
            </w:pPr>
            <w:r>
              <w:rPr/>
              <w:t xml:space="preserve">anticonceptie</w:t>
            </w:r>
          </w:p>
          <w:p>
            <w:pPr>
              <w:pStyle w:val="ListParagraph"/>
              <w:numPr>
                <w:ilvl w:val="0"/>
                <w:numId w:val="24"/>
              </w:numPr>
            </w:pPr>
            <w:r>
              <w:rPr/>
              <w:t xml:space="preserve">menopauze en hormonale substitutie</w:t>
            </w:r>
          </w:p>
          <w:p>
            <w:pPr>
              <w:pStyle w:val="ListParagraph"/>
              <w:numPr>
                <w:ilvl w:val="1"/>
                <w:numId w:val="24"/>
              </w:numPr>
            </w:pPr>
            <w:r>
              <w:rPr/>
              <w:t xml:space="preserve">oestrogenen</w:t>
            </w:r>
          </w:p>
          <w:p>
            <w:pPr>
              <w:pStyle w:val="ListParagraph"/>
              <w:numPr>
                <w:ilvl w:val="1"/>
                <w:numId w:val="24"/>
              </w:numPr>
            </w:pPr>
            <w:r>
              <w:rPr/>
              <w:t xml:space="preserve">oestroprogestagenen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het algemeen gebruiksadvies kunnen geven (bijvoorbeeld moment van inname, bij de maaltijd of nuchter, gebruiksduur, …)</w:t>
            </w:r>
          </w:p>
          <w:p>
            <w:pPr>
              <w:pStyle w:val="ListParagraph"/>
              <w:numPr>
                <w:ilvl w:val="0"/>
                <w:numId w:val="25"/>
              </w:numPr>
            </w:pPr>
            <w:r>
              <w:rPr/>
              <w:t xml:space="preserve">voor elke hoofdgroep en subgroep voorbeelden geven</w:t>
            </w:r>
          </w:p>
          <w:p>
            <w:pPr>
              <w:pStyle w:val="ListParagraph"/>
              <w:numPr>
                <w:ilvl w:val="0"/>
                <w:numId w:val="25"/>
              </w:numPr>
            </w:pPr>
            <w:r>
              <w:rPr/>
              <w:t xml:space="preserve">van elke specialiteit en elk actief bestanddeel uit de lijst in bijlage de hoofdgroep en subgroep bepalen --&gt; de werking en indicatie kennen</w:t>
            </w:r>
          </w:p>
          <w:p>
            <w:pPr>
              <w:pStyle w:val="ListParagraph"/>
              <w:numPr>
                <w:ilvl w:val="0"/>
                <w:numId w:val="25"/>
              </w:numPr>
            </w:pPr>
            <w:r>
              <w:rPr/>
              <w:t xml:space="preserve">het verschil tussen monofasische, bifasische, trifasische en sequentiële anticonceptie verklaren</w:t>
            </w:r>
          </w:p>
          <w:p>
            <w:pPr>
              <w:pStyle w:val="ListParagraph"/>
              <w:numPr>
                <w:ilvl w:val="0"/>
                <w:numId w:val="25"/>
              </w:numPr>
            </w:pPr>
            <w:r>
              <w:rPr/>
              <w:t xml:space="preserve">weten dat de benamingen eerste, tweede en derde generatie pillen afhankelijk is van het soort synthetisch progestageen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urinaire antibacteriële middelen</w:t>
            </w:r>
          </w:p>
          <w:p>
            <w:pPr>
              <w:pStyle w:val="ListParagraph"/>
              <w:numPr>
                <w:ilvl w:val="0"/>
                <w:numId w:val="26"/>
              </w:numPr>
            </w:pPr>
            <w:r>
              <w:rPr/>
              <w:t xml:space="preserve">anticholinergica bij incontinentie</w:t>
            </w:r>
          </w:p>
          <w:p>
            <w:pPr>
              <w:pStyle w:val="ListParagraph"/>
              <w:numPr>
                <w:ilvl w:val="0"/>
                <w:numId w:val="26"/>
              </w:numPr>
            </w:pPr>
            <w:r>
              <w:rPr/>
              <w:t xml:space="preserve">middelen bij benigne prostaathypertrofie</w:t>
            </w:r>
          </w:p>
          <w:p>
            <w:pPr>
              <w:pStyle w:val="ListParagraph"/>
              <w:numPr>
                <w:ilvl w:val="0"/>
                <w:numId w:val="26"/>
              </w:numPr>
            </w:pPr>
            <w:r>
              <w:rPr/>
              <w:t xml:space="preserve">middelen bij 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het algemeen gebruiksadvies kunnen geven (bijvoorbeeld moment van inname, bij de maaltijd of nuchter, gebruiksduur, …)</w:t>
            </w:r>
          </w:p>
          <w:p>
            <w:pPr>
              <w:pStyle w:val="ListParagraph"/>
              <w:numPr>
                <w:ilvl w:val="0"/>
                <w:numId w:val="27"/>
              </w:numPr>
            </w:pPr>
            <w:r>
              <w:rPr/>
              <w:t xml:space="preserve">voor elke hoofdgroep en subgroep voorbeelden geven</w:t>
            </w:r>
          </w:p>
          <w:p>
            <w:pPr>
              <w:pStyle w:val="ListParagraph"/>
              <w:numPr>
                <w:ilvl w:val="0"/>
                <w:numId w:val="2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koorts en ontsteking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niet-narcotische analgetica en antipyretica</w:t>
            </w:r>
          </w:p>
          <w:p>
            <w:pPr>
              <w:pStyle w:val="ListParagraph"/>
              <w:numPr>
                <w:ilvl w:val="1"/>
                <w:numId w:val="28"/>
              </w:numPr>
            </w:pPr>
            <w:r>
              <w:rPr/>
              <w:t xml:space="preserve">paracetamol</w:t>
            </w:r>
          </w:p>
          <w:p>
            <w:pPr>
              <w:pStyle w:val="ListParagraph"/>
              <w:numPr>
                <w:ilvl w:val="1"/>
                <w:numId w:val="28"/>
              </w:numPr>
            </w:pPr>
            <w:r>
              <w:rPr/>
              <w:t xml:space="preserve">acetylsalicylzuur</w:t>
            </w:r>
          </w:p>
          <w:p>
            <w:pPr>
              <w:pStyle w:val="ListParagraph"/>
              <w:numPr>
                <w:ilvl w:val="1"/>
                <w:numId w:val="28"/>
              </w:numPr>
            </w:pPr>
            <w:r>
              <w:rPr/>
              <w:t xml:space="preserve">combinatiepreparaten</w:t>
            </w:r>
          </w:p>
          <w:p>
            <w:pPr>
              <w:pStyle w:val="ListParagraph"/>
              <w:numPr>
                <w:ilvl w:val="0"/>
                <w:numId w:val="28"/>
              </w:numPr>
            </w:pPr>
            <w:r>
              <w:rPr/>
              <w:t xml:space="preserve">narcotische analgetica</w:t>
            </w:r>
          </w:p>
          <w:p>
            <w:pPr>
              <w:pStyle w:val="ListParagraph"/>
              <w:numPr>
                <w:ilvl w:val="1"/>
                <w:numId w:val="28"/>
              </w:numPr>
            </w:pPr>
            <w:r>
              <w:rPr/>
              <w:t xml:space="preserve">enkelvoudige preparaten</w:t>
            </w:r>
          </w:p>
          <w:p>
            <w:pPr>
              <w:pStyle w:val="ListParagraph"/>
              <w:numPr>
                <w:ilvl w:val="1"/>
                <w:numId w:val="28"/>
              </w:numPr>
            </w:pPr>
            <w:r>
              <w:rPr/>
              <w:t xml:space="preserve">combinatiepreparaten</w:t>
            </w:r>
          </w:p>
          <w:p>
            <w:pPr>
              <w:pStyle w:val="ListParagraph"/>
              <w:numPr>
                <w:ilvl w:val="0"/>
                <w:numId w:val="28"/>
              </w:numPr>
            </w:pPr>
            <w:r>
              <w:rPr/>
              <w:t xml:space="preserve">NSAID'S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het algemeen gebruiksadvies kunnen geven (bijvoorbeeld moment van inname, bij de maaltijd of nuchter, gebruiksduur, …)</w:t>
            </w:r>
          </w:p>
          <w:p>
            <w:pPr>
              <w:pStyle w:val="ListParagraph"/>
              <w:numPr>
                <w:ilvl w:val="0"/>
                <w:numId w:val="29"/>
              </w:numPr>
            </w:pPr>
            <w:r>
              <w:rPr/>
              <w:t xml:space="preserve">voor elke hoofdgroep en subgroep voorbeelden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structuurformule van Acetylsalicylzuur en Paracetamol herkennen</w:t>
            </w:r>
          </w:p>
          <w:p>
            <w:pPr>
              <w:pStyle w:val="ListParagraph"/>
              <w:numPr>
                <w:ilvl w:val="0"/>
                <w:numId w:val="29"/>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NSAID’s</w:t>
            </w:r>
          </w:p>
          <w:p>
            <w:pPr>
              <w:pStyle w:val="ListParagraph"/>
              <w:numPr>
                <w:ilvl w:val="1"/>
                <w:numId w:val="30"/>
              </w:numPr>
            </w:pPr>
            <w:r>
              <w:rPr/>
              <w:t xml:space="preserve">systemisch gebruik</w:t>
            </w:r>
          </w:p>
          <w:p>
            <w:pPr>
              <w:pStyle w:val="ListParagraph"/>
              <w:numPr>
                <w:ilvl w:val="1"/>
                <w:numId w:val="30"/>
              </w:numPr>
            </w:pPr>
            <w:r>
              <w:rPr/>
              <w:t xml:space="preserve">lokaal gebruik</w:t>
            </w:r>
          </w:p>
          <w:p>
            <w:pPr>
              <w:pStyle w:val="ListParagraph"/>
              <w:numPr>
                <w:ilvl w:val="1"/>
                <w:numId w:val="30"/>
              </w:numPr>
            </w:pPr>
            <w:r>
              <w:rPr/>
              <w:t xml:space="preserve">selectieve COX-2 inhibitoren</w:t>
            </w:r>
          </w:p>
          <w:p>
            <w:pPr>
              <w:pStyle w:val="ListParagraph"/>
              <w:numPr>
                <w:ilvl w:val="0"/>
                <w:numId w:val="30"/>
              </w:numPr>
            </w:pPr>
            <w:r>
              <w:rPr/>
              <w:t xml:space="preserve">middelen bij reumatoïde artritis</w:t>
            </w:r>
          </w:p>
          <w:p>
            <w:pPr>
              <w:pStyle w:val="ListParagraph"/>
              <w:numPr>
                <w:ilvl w:val="0"/>
                <w:numId w:val="30"/>
              </w:numPr>
            </w:pPr>
            <w:r>
              <w:rPr/>
              <w:t xml:space="preserve">middelen bij jicht</w:t>
            </w:r>
          </w:p>
          <w:p>
            <w:pPr>
              <w:pStyle w:val="ListParagraph"/>
              <w:numPr>
                <w:ilvl w:val="0"/>
                <w:numId w:val="30"/>
              </w:numPr>
            </w:pPr>
            <w:r>
              <w:rPr/>
              <w:t xml:space="preserve">middelen bij osteoporose</w:t>
            </w:r>
          </w:p>
          <w:p>
            <w:pPr>
              <w:pStyle w:val="ListParagraph"/>
              <w:numPr>
                <w:ilvl w:val="1"/>
                <w:numId w:val="30"/>
              </w:numPr>
            </w:pPr>
            <w:r>
              <w:rPr/>
              <w:t xml:space="preserve">calcium en vitamine D</w:t>
            </w:r>
          </w:p>
          <w:p>
            <w:pPr>
              <w:pStyle w:val="ListParagraph"/>
              <w:numPr>
                <w:ilvl w:val="1"/>
                <w:numId w:val="30"/>
              </w:numPr>
            </w:pPr>
            <w:r>
              <w:rPr/>
              <w:t xml:space="preserve">bisfosfonaten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het algemeen gebruiksadvies kunnen geven (bijvoorbeeld moment van inname, bij de maaltijd of nuchter, gebruiksduur, …)</w:t>
            </w:r>
          </w:p>
          <w:p>
            <w:pPr>
              <w:pStyle w:val="ListParagraph"/>
              <w:numPr>
                <w:ilvl w:val="0"/>
                <w:numId w:val="31"/>
              </w:numPr>
            </w:pPr>
            <w:r>
              <w:rPr/>
              <w:t xml:space="preserve">voor elke hoofdgroep en subgroep voorbeelden geven</w:t>
            </w:r>
          </w:p>
          <w:p>
            <w:pPr>
              <w:pStyle w:val="ListParagraph"/>
              <w:numPr>
                <w:ilvl w:val="0"/>
                <w:numId w:val="31"/>
              </w:numPr>
            </w:pPr>
            <w:r>
              <w:rPr/>
              <w:t xml:space="preserve">van elke specialiteit en elk actief bestanddeel uit de lijst in bijlage de hoofdgroep en subgroep bepalen --&gt; de werking en indicatie kennen</w:t>
            </w:r>
          </w:p>
          <w:p>
            <w:pPr>
              <w:pStyle w:val="ListParagraph"/>
              <w:numPr>
                <w:ilvl w:val="0"/>
                <w:numId w:val="31"/>
              </w:numPr>
            </w:pPr>
            <w:r>
              <w:rPr/>
              <w:t xml:space="preserve">de algemene behandeling van chronische artritis, jicht en artrose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hypnotica, sedativa en anxiolytica</w:t>
            </w:r>
          </w:p>
          <w:p>
            <w:pPr>
              <w:pStyle w:val="ListParagraph"/>
              <w:numPr>
                <w:ilvl w:val="1"/>
                <w:numId w:val="32"/>
              </w:numPr>
            </w:pPr>
            <w:r>
              <w:rPr/>
              <w:t xml:space="preserve">benzodiazepines</w:t>
            </w:r>
          </w:p>
          <w:p>
            <w:pPr>
              <w:pStyle w:val="ListParagraph"/>
              <w:numPr>
                <w:ilvl w:val="1"/>
                <w:numId w:val="32"/>
              </w:numPr>
            </w:pPr>
            <w:r>
              <w:rPr/>
              <w:t xml:space="preserve">middelen verwant aan de benzodiazepines</w:t>
            </w:r>
          </w:p>
          <w:p>
            <w:pPr>
              <w:pStyle w:val="ListParagraph"/>
              <w:numPr>
                <w:ilvl w:val="1"/>
                <w:numId w:val="32"/>
              </w:numPr>
            </w:pPr>
            <w:r>
              <w:rPr/>
              <w:t xml:space="preserve">melatonine</w:t>
            </w:r>
          </w:p>
          <w:p>
            <w:pPr>
              <w:pStyle w:val="ListParagraph"/>
              <w:numPr>
                <w:ilvl w:val="1"/>
                <w:numId w:val="32"/>
              </w:numPr>
            </w:pPr>
            <w:r>
              <w:rPr/>
              <w:t xml:space="preserve">middelen op basis van planten</w:t>
            </w:r>
          </w:p>
          <w:p>
            <w:pPr>
              <w:pStyle w:val="ListParagraph"/>
              <w:numPr>
                <w:ilvl w:val="0"/>
                <w:numId w:val="32"/>
              </w:numPr>
            </w:pPr>
            <w:r>
              <w:rPr/>
              <w:t xml:space="preserve">anti-psychotica</w:t>
            </w:r>
          </w:p>
          <w:p>
            <w:pPr>
              <w:pStyle w:val="ListParagraph"/>
              <w:numPr>
                <w:ilvl w:val="0"/>
                <w:numId w:val="32"/>
              </w:numPr>
            </w:pPr>
            <w:r>
              <w:rPr/>
              <w:t xml:space="preserve">anti-depressiva</w:t>
            </w:r>
          </w:p>
          <w:p>
            <w:pPr>
              <w:pStyle w:val="ListParagraph"/>
              <w:numPr>
                <w:ilvl w:val="1"/>
                <w:numId w:val="32"/>
              </w:numPr>
            </w:pPr>
            <w:r>
              <w:rPr/>
              <w:t xml:space="preserve">selectieve serotonine reuptake inhibitoren</w:t>
            </w:r>
          </w:p>
          <w:p>
            <w:pPr>
              <w:pStyle w:val="ListParagraph"/>
              <w:numPr>
                <w:ilvl w:val="1"/>
                <w:numId w:val="32"/>
              </w:numPr>
            </w:pPr>
            <w:r>
              <w:rPr/>
              <w:t xml:space="preserve">tricyclische antidepressiva</w:t>
            </w:r>
          </w:p>
          <w:p>
            <w:pPr>
              <w:pStyle w:val="ListParagraph"/>
              <w:numPr>
                <w:ilvl w:val="1"/>
                <w:numId w:val="32"/>
              </w:numPr>
            </w:pPr>
            <w:r>
              <w:rPr/>
              <w:t xml:space="preserve">serotonine en noradrenaline reuptake inhibitoren</w:t>
            </w:r>
          </w:p>
          <w:p>
            <w:pPr>
              <w:pStyle w:val="ListParagraph"/>
              <w:numPr>
                <w:ilvl w:val="1"/>
                <w:numId w:val="32"/>
              </w:numPr>
            </w:pPr>
            <w:r>
              <w:rPr/>
              <w:t xml:space="preserve">noradrenaline en dopamine reuptake inhibitoren</w:t>
            </w:r>
          </w:p>
          <w:p>
            <w:pPr>
              <w:pStyle w:val="ListParagraph"/>
              <w:numPr>
                <w:ilvl w:val="1"/>
                <w:numId w:val="32"/>
              </w:numPr>
            </w:pPr>
            <w:r>
              <w:rPr/>
              <w:t xml:space="preserve">Sint-Janskruid</w:t>
            </w:r>
          </w:p>
          <w:p>
            <w:pPr>
              <w:pStyle w:val="ListParagraph"/>
              <w:numPr>
                <w:ilvl w:val="1"/>
                <w:numId w:val="32"/>
              </w:numPr>
            </w:pPr>
            <w:r>
              <w:rPr/>
              <w:t xml:space="preserve">Ginkgo Biloba</w:t>
            </w:r>
          </w:p>
          <w:p>
            <w:pPr>
              <w:pStyle w:val="ListParagraph"/>
              <w:numPr>
                <w:ilvl w:val="0"/>
                <w:numId w:val="32"/>
              </w:numPr>
            </w:pPr>
            <w:r>
              <w:rPr/>
              <w:t xml:space="preserve">centrale stimulantia</w:t>
            </w:r>
          </w:p>
          <w:p>
            <w:pPr>
              <w:pStyle w:val="ListParagraph"/>
              <w:numPr>
                <w:ilvl w:val="0"/>
                <w:numId w:val="32"/>
              </w:numPr>
            </w:pPr>
            <w:r>
              <w:rPr/>
              <w:t xml:space="preserve">middelen in verband met afhankelijkheid</w:t>
            </w:r>
          </w:p>
          <w:p>
            <w:pPr>
              <w:pStyle w:val="ListParagraph"/>
              <w:numPr>
                <w:ilvl w:val="1"/>
                <w:numId w:val="32"/>
              </w:numPr>
            </w:pPr>
            <w:r>
              <w:rPr/>
              <w:t xml:space="preserve">roken</w:t>
            </w:r>
          </w:p>
          <w:p>
            <w:pPr>
              <w:pStyle w:val="ListParagraph"/>
              <w:numPr>
                <w:ilvl w:val="1"/>
                <w:numId w:val="32"/>
              </w:numPr>
            </w:pPr>
            <w:r>
              <w:rPr/>
              <w:t xml:space="preserve">alcohol</w:t>
            </w:r>
          </w:p>
          <w:p>
            <w:pPr>
              <w:pStyle w:val="ListParagraph"/>
              <w:numPr>
                <w:ilvl w:val="1"/>
                <w:numId w:val="32"/>
              </w:numPr>
            </w:pPr>
            <w:r>
              <w:rPr/>
              <w:t xml:space="preserve">opioïden</w:t>
            </w:r>
          </w:p>
          <w:p>
            <w:pPr>
              <w:pStyle w:val="ListParagraph"/>
              <w:numPr>
                <w:ilvl w:val="0"/>
                <w:numId w:val="32"/>
              </w:numPr>
            </w:pPr>
            <w:r>
              <w:rPr/>
              <w:t xml:space="preserve">anti-parkinsonmiddelen</w:t>
            </w:r>
          </w:p>
          <w:p>
            <w:pPr>
              <w:pStyle w:val="ListParagraph"/>
              <w:numPr>
                <w:ilvl w:val="0"/>
                <w:numId w:val="32"/>
              </w:numPr>
            </w:pPr>
            <w:r>
              <w:rPr/>
              <w:t xml:space="preserve">anti-epileptica</w:t>
            </w:r>
          </w:p>
          <w:p>
            <w:pPr>
              <w:pStyle w:val="ListParagraph"/>
              <w:numPr>
                <w:ilvl w:val="0"/>
                <w:numId w:val="32"/>
              </w:numPr>
            </w:pPr>
            <w:r>
              <w:rPr/>
              <w:t xml:space="preserve">anti-migrainemiddelen</w:t>
            </w:r>
          </w:p>
          <w:p>
            <w:pPr>
              <w:pStyle w:val="ListParagraph"/>
              <w:numPr>
                <w:ilvl w:val="0"/>
                <w:numId w:val="32"/>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het algemeen gebruiksadvies kunnen geven (bijvoorbeeld moment van inname, bij de maaltijd of nuchter, gebruiksduur, …)</w:t>
            </w:r>
          </w:p>
          <w:p>
            <w:pPr>
              <w:pStyle w:val="ListParagraph"/>
              <w:numPr>
                <w:ilvl w:val="0"/>
                <w:numId w:val="33"/>
              </w:numPr>
            </w:pPr>
            <w:r>
              <w:rPr/>
              <w:t xml:space="preserve">voor elke hoofdgroep en subgroep voorbeelden geven</w:t>
            </w:r>
          </w:p>
          <w:p>
            <w:pPr>
              <w:pStyle w:val="ListParagraph"/>
              <w:numPr>
                <w:ilvl w:val="0"/>
                <w:numId w:val="3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antibacteriële middelen</w:t>
            </w:r>
          </w:p>
          <w:p>
            <w:pPr>
              <w:pStyle w:val="ListParagraph"/>
              <w:numPr>
                <w:ilvl w:val="1"/>
                <w:numId w:val="34"/>
              </w:numPr>
            </w:pPr>
            <w:r>
              <w:rPr/>
              <w:t xml:space="preserve">penicillines</w:t>
            </w:r>
          </w:p>
          <w:p>
            <w:pPr>
              <w:pStyle w:val="ListParagraph"/>
              <w:numPr>
                <w:ilvl w:val="1"/>
                <w:numId w:val="34"/>
              </w:numPr>
            </w:pPr>
            <w:r>
              <w:rPr/>
              <w:t xml:space="preserve">cefalosporines</w:t>
            </w:r>
          </w:p>
          <w:p>
            <w:pPr>
              <w:pStyle w:val="ListParagraph"/>
              <w:numPr>
                <w:ilvl w:val="1"/>
                <w:numId w:val="34"/>
              </w:numPr>
            </w:pPr>
            <w:r>
              <w:rPr/>
              <w:t xml:space="preserve">macroliden</w:t>
            </w:r>
          </w:p>
          <w:p>
            <w:pPr>
              <w:pStyle w:val="ListParagraph"/>
              <w:numPr>
                <w:ilvl w:val="1"/>
                <w:numId w:val="34"/>
              </w:numPr>
            </w:pPr>
            <w:r>
              <w:rPr/>
              <w:t xml:space="preserve">tetracyclines</w:t>
            </w:r>
          </w:p>
          <w:p>
            <w:pPr>
              <w:pStyle w:val="ListParagraph"/>
              <w:numPr>
                <w:ilvl w:val="1"/>
                <w:numId w:val="34"/>
              </w:numPr>
            </w:pPr>
            <w:r>
              <w:rPr/>
              <w:t xml:space="preserve">clindamycine</w:t>
            </w:r>
          </w:p>
          <w:p>
            <w:pPr>
              <w:pStyle w:val="ListParagraph"/>
              <w:numPr>
                <w:ilvl w:val="1"/>
                <w:numId w:val="34"/>
              </w:numPr>
            </w:pPr>
            <w:r>
              <w:rPr/>
              <w:t xml:space="preserve">fluorochinolonen</w:t>
            </w:r>
          </w:p>
          <w:p>
            <w:pPr>
              <w:pStyle w:val="ListParagraph"/>
              <w:numPr>
                <w:ilvl w:val="1"/>
                <w:numId w:val="34"/>
              </w:numPr>
            </w:pPr>
            <w:r>
              <w:rPr/>
              <w:t xml:space="preserve">...</w:t>
            </w:r>
          </w:p>
          <w:p>
            <w:pPr>
              <w:pStyle w:val="ListParagraph"/>
              <w:numPr>
                <w:ilvl w:val="0"/>
                <w:numId w:val="34"/>
              </w:numPr>
            </w:pPr>
            <w:r>
              <w:rPr/>
              <w:t xml:space="preserve">antimycotica</w:t>
            </w:r>
          </w:p>
          <w:p>
            <w:pPr>
              <w:pStyle w:val="ListParagraph"/>
              <w:numPr>
                <w:ilvl w:val="1"/>
                <w:numId w:val="34"/>
              </w:numPr>
            </w:pPr>
            <w:r>
              <w:rPr/>
              <w:t xml:space="preserve">azolen</w:t>
            </w:r>
          </w:p>
          <w:p>
            <w:pPr>
              <w:pStyle w:val="ListParagraph"/>
              <w:numPr>
                <w:ilvl w:val="1"/>
                <w:numId w:val="34"/>
              </w:numPr>
            </w:pPr>
            <w:r>
              <w:rPr/>
              <w:t xml:space="preserve">terbinafine</w:t>
            </w:r>
          </w:p>
          <w:p>
            <w:pPr>
              <w:pStyle w:val="ListParagraph"/>
              <w:numPr>
                <w:ilvl w:val="1"/>
                <w:numId w:val="34"/>
              </w:numPr>
            </w:pPr>
            <w:r>
              <w:rPr/>
              <w:t xml:space="preserve">nystatine</w:t>
            </w:r>
          </w:p>
          <w:p>
            <w:pPr>
              <w:pStyle w:val="ListParagraph"/>
              <w:numPr>
                <w:ilvl w:val="1"/>
                <w:numId w:val="34"/>
              </w:numPr>
            </w:pPr>
            <w:r>
              <w:rPr/>
              <w:t xml:space="preserve">...</w:t>
            </w:r>
          </w:p>
          <w:p>
            <w:pPr>
              <w:pStyle w:val="ListParagraph"/>
              <w:numPr>
                <w:ilvl w:val="0"/>
                <w:numId w:val="34"/>
              </w:numPr>
            </w:pPr>
            <w:r>
              <w:rPr/>
              <w:t xml:space="preserve">antiparasitaire middelen</w:t>
            </w:r>
          </w:p>
          <w:p>
            <w:pPr>
              <w:pStyle w:val="ListParagraph"/>
              <w:numPr>
                <w:ilvl w:val="1"/>
                <w:numId w:val="34"/>
              </w:numPr>
            </w:pPr>
            <w:r>
              <w:rPr/>
              <w:t xml:space="preserve">antimalaria middelen</w:t>
            </w:r>
          </w:p>
          <w:p>
            <w:pPr>
              <w:pStyle w:val="ListParagraph"/>
              <w:numPr>
                <w:ilvl w:val="1"/>
                <w:numId w:val="34"/>
              </w:numPr>
            </w:pPr>
            <w:r>
              <w:rPr/>
              <w:t xml:space="preserve">middelen tegen wormen</w:t>
            </w:r>
          </w:p>
          <w:p>
            <w:pPr>
              <w:pStyle w:val="ListParagraph"/>
              <w:numPr>
                <w:ilvl w:val="1"/>
                <w:numId w:val="34"/>
              </w:numPr>
            </w:pPr>
            <w:r>
              <w:rPr/>
              <w:t xml:space="preserve">...</w:t>
            </w:r>
          </w:p>
          <w:p>
            <w:pPr>
              <w:pStyle w:val="ListParagraph"/>
              <w:numPr>
                <w:ilvl w:val="0"/>
                <w:numId w:val="34"/>
              </w:numPr>
            </w:pPr>
            <w:r>
              <w:rPr/>
              <w:t xml:space="preserve">antivirale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het algemeen gebruiksadvies kunnen geven (bijvoorbeeld moment van inname, bij de maaltijd of nuchter, gebruiksduur, …)</w:t>
            </w:r>
          </w:p>
          <w:p>
            <w:pPr>
              <w:pStyle w:val="ListParagraph"/>
              <w:numPr>
                <w:ilvl w:val="0"/>
                <w:numId w:val="35"/>
              </w:numPr>
            </w:pPr>
            <w:r>
              <w:rPr/>
              <w:t xml:space="preserve">voor elke hoofdgroep en subgroep voorbeelden geven</w:t>
            </w:r>
          </w:p>
          <w:p>
            <w:pPr>
              <w:pStyle w:val="ListParagraph"/>
              <w:numPr>
                <w:ilvl w:val="0"/>
                <w:numId w:val="35"/>
              </w:numPr>
            </w:pPr>
            <w:r>
              <w:rPr/>
              <w:t xml:space="preserve">van elke specialiteit en elk actief bestanddeel uit de lijst in bijlage de hoofdgroep en subgroep bepalen --&gt; de werking en indicatie kennen</w:t>
            </w:r>
          </w:p>
          <w:p>
            <w:pPr>
              <w:pStyle w:val="ListParagraph"/>
              <w:numPr>
                <w:ilvl w:val="0"/>
                <w:numId w:val="35"/>
              </w:numPr>
            </w:pPr>
            <w:r>
              <w:rPr/>
              <w:t xml:space="preserve">het resistentieprobleem tegenover antibiotica uitleggen</w:t>
            </w:r>
          </w:p>
          <w:p>
            <w:pPr>
              <w:pStyle w:val="ListParagraph"/>
              <w:numPr>
                <w:ilvl w:val="0"/>
                <w:numId w:val="35"/>
              </w:numPr>
            </w:pPr>
            <w:r>
              <w:rPr/>
              <w:t xml:space="preserve">het bacteriostatisch of bactericied effect verklaren</w:t>
            </w:r>
          </w:p>
          <w:p>
            <w:pPr>
              <w:pStyle w:val="ListParagraph"/>
              <w:numPr>
                <w:ilvl w:val="0"/>
                <w:numId w:val="35"/>
              </w:numPr>
            </w:pPr>
            <w:r>
              <w:rPr/>
              <w:t xml:space="preserve">het verschil tussen smal- en breedspectrumantibiotica verklaren.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vaccins</w:t>
            </w:r>
          </w:p>
          <w:p>
            <w:pPr>
              <w:pStyle w:val="ListParagraph"/>
              <w:numPr>
                <w:ilvl w:val="1"/>
                <w:numId w:val="36"/>
              </w:numPr>
            </w:pPr>
            <w:r>
              <w:rPr/>
              <w:t xml:space="preserve">antivirale vaccins</w:t>
            </w:r>
          </w:p>
          <w:p>
            <w:pPr>
              <w:pStyle w:val="ListParagraph"/>
              <w:numPr>
                <w:ilvl w:val="1"/>
                <w:numId w:val="36"/>
              </w:numPr>
            </w:pPr>
            <w:r>
              <w:rPr/>
              <w:t xml:space="preserve">antibacteriële vaccins</w:t>
            </w:r>
          </w:p>
          <w:p>
            <w:pPr>
              <w:pStyle w:val="ListParagraph"/>
              <w:numPr>
                <w:ilvl w:val="1"/>
                <w:numId w:val="36"/>
              </w:numPr>
            </w:pPr>
            <w:r>
              <w:rPr/>
              <w:t xml:space="preserve">gecombineerde vaccins</w:t>
            </w:r>
          </w:p>
          <w:p>
            <w:pPr>
              <w:pStyle w:val="ListParagraph"/>
              <w:numPr>
                <w:ilvl w:val="0"/>
                <w:numId w:val="36"/>
              </w:numPr>
            </w:pPr>
            <w:r>
              <w:rPr/>
              <w:t xml:space="preserve">TNF-remmers</w:t>
            </w:r>
          </w:p>
          <w:p>
            <w:pPr>
              <w:pStyle w:val="ListParagraph"/>
              <w:numPr>
                <w:ilvl w:val="0"/>
                <w:numId w:val="36"/>
              </w:numPr>
            </w:pPr>
            <w:r>
              <w:rPr/>
              <w:t xml:space="preserve">middelen tegen allergie</w:t>
            </w:r>
          </w:p>
          <w:p>
            <w:pPr>
              <w:pStyle w:val="ListParagraph"/>
              <w:numPr>
                <w:ilvl w:val="1"/>
                <w:numId w:val="36"/>
              </w:numPr>
            </w:pPr>
            <w:r>
              <w:rPr/>
              <w:t xml:space="preserve">H1-antihistaminica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het algemeen gebruiksadvies kunnen geven (bijvoorbeeld moment van inname, bij de maaltijd of nuchter, gebruiksduur, …)</w:t>
            </w:r>
          </w:p>
          <w:p>
            <w:pPr>
              <w:pStyle w:val="ListParagraph"/>
              <w:numPr>
                <w:ilvl w:val="0"/>
                <w:numId w:val="37"/>
              </w:numPr>
            </w:pPr>
            <w:r>
              <w:rPr/>
              <w:t xml:space="preserve">voor elke hoofdgroep en subgroep voorbeelden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anti-infectieuze middelen</w:t>
            </w:r>
          </w:p>
          <w:p>
            <w:pPr>
              <w:pStyle w:val="ListParagraph"/>
              <w:numPr>
                <w:ilvl w:val="1"/>
                <w:numId w:val="38"/>
              </w:numPr>
            </w:pPr>
            <w:r>
              <w:rPr/>
              <w:t xml:space="preserve">antiseptica,</w:t>
            </w:r>
          </w:p>
          <w:p>
            <w:pPr>
              <w:pStyle w:val="ListParagraph"/>
              <w:numPr>
                <w:ilvl w:val="1"/>
                <w:numId w:val="38"/>
              </w:numPr>
            </w:pPr>
            <w:r>
              <w:rPr/>
              <w:t xml:space="preserve">antibiotica,</w:t>
            </w:r>
          </w:p>
          <w:p>
            <w:pPr>
              <w:pStyle w:val="ListParagraph"/>
              <w:numPr>
                <w:ilvl w:val="1"/>
                <w:numId w:val="38"/>
              </w:numPr>
            </w:pPr>
            <w:r>
              <w:rPr/>
              <w:t xml:space="preserve">antimycotica,</w:t>
            </w:r>
          </w:p>
          <w:p>
            <w:pPr>
              <w:pStyle w:val="ListParagraph"/>
              <w:numPr>
                <w:ilvl w:val="1"/>
                <w:numId w:val="38"/>
              </w:numPr>
            </w:pPr>
            <w:r>
              <w:rPr/>
              <w:t xml:space="preserve">antiviraal</w:t>
            </w:r>
          </w:p>
          <w:p>
            <w:pPr>
              <w:pStyle w:val="ListParagraph"/>
              <w:numPr>
                <w:ilvl w:val="0"/>
                <w:numId w:val="38"/>
              </w:numPr>
            </w:pPr>
            <w:r>
              <w:rPr/>
              <w:t xml:space="preserve">lokale glucocorticoïden</w:t>
            </w:r>
          </w:p>
          <w:p>
            <w:pPr>
              <w:pStyle w:val="ListParagraph"/>
              <w:numPr>
                <w:ilvl w:val="0"/>
                <w:numId w:val="38"/>
              </w:numPr>
            </w:pPr>
            <w:r>
              <w:rPr/>
              <w:t xml:space="preserve">combinatiepreparaten</w:t>
            </w:r>
          </w:p>
          <w:p>
            <w:pPr>
              <w:pStyle w:val="ListParagraph"/>
              <w:numPr>
                <w:ilvl w:val="0"/>
                <w:numId w:val="38"/>
              </w:numPr>
            </w:pPr>
            <w:r>
              <w:rPr/>
              <w:t xml:space="preserve">middelen bij traumata en veneuze aandoeningen</w:t>
            </w:r>
          </w:p>
          <w:p>
            <w:pPr>
              <w:pStyle w:val="ListParagraph"/>
              <w:numPr>
                <w:ilvl w:val="0"/>
                <w:numId w:val="38"/>
              </w:numPr>
            </w:pPr>
            <w:r>
              <w:rPr/>
              <w:t xml:space="preserve"> middelen bij acné</w:t>
            </w:r>
          </w:p>
          <w:p>
            <w:pPr>
              <w:pStyle w:val="ListParagraph"/>
              <w:numPr>
                <w:ilvl w:val="1"/>
                <w:numId w:val="38"/>
              </w:numPr>
            </w:pPr>
            <w:r>
              <w:rPr/>
              <w:t xml:space="preserve"> keratolytica</w:t>
            </w:r>
          </w:p>
          <w:p>
            <w:pPr>
              <w:pStyle w:val="ListParagraph"/>
              <w:numPr>
                <w:ilvl w:val="1"/>
                <w:numId w:val="38"/>
              </w:numPr>
            </w:pPr>
            <w:r>
              <w:rPr/>
              <w:t xml:space="preserve">antibacteriële producten</w:t>
            </w:r>
          </w:p>
          <w:p>
            <w:pPr>
              <w:pStyle w:val="ListParagraph"/>
              <w:numPr>
                <w:ilvl w:val="0"/>
                <w:numId w:val="38"/>
              </w:numPr>
            </w:pPr>
            <w:r>
              <w:rPr/>
              <w:t xml:space="preserve">aanpak van psoriasis</w:t>
            </w:r>
          </w:p>
          <w:p>
            <w:pPr>
              <w:pStyle w:val="ListParagraph"/>
              <w:numPr>
                <w:ilvl w:val="1"/>
                <w:numId w:val="38"/>
              </w:numPr>
            </w:pPr>
            <w:r>
              <w:rPr/>
              <w:t xml:space="preserve">lokale glucocorticoïden</w:t>
            </w:r>
          </w:p>
          <w:p>
            <w:pPr>
              <w:pStyle w:val="ListParagraph"/>
              <w:numPr>
                <w:ilvl w:val="1"/>
                <w:numId w:val="38"/>
              </w:numPr>
            </w:pPr>
            <w:r>
              <w:rPr/>
              <w:t xml:space="preserve">salicylzuur</w:t>
            </w:r>
          </w:p>
          <w:p>
            <w:pPr>
              <w:pStyle w:val="ListParagraph"/>
              <w:numPr>
                <w:ilvl w:val="1"/>
                <w:numId w:val="38"/>
              </w:numPr>
            </w:pPr>
            <w:r>
              <w:rPr/>
              <w:t xml:space="preserve">vitamine D-analogen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het algemeen gebruiksadvies kunnen geven (bijvoorbeeld moment van inname, bij de maaltijd of nuchter, gebruiksduur, …)</w:t>
            </w:r>
          </w:p>
          <w:p>
            <w:pPr>
              <w:pStyle w:val="ListParagraph"/>
              <w:numPr>
                <w:ilvl w:val="0"/>
                <w:numId w:val="39"/>
              </w:numPr>
            </w:pPr>
            <w:r>
              <w:rPr/>
              <w:t xml:space="preserve">voor elke hoofdgroep en subgroep voorbeelden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 keel, oor en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middelen voor gebruik in het oor</w:t>
            </w:r>
          </w:p>
          <w:p>
            <w:pPr>
              <w:pStyle w:val="ListParagraph"/>
              <w:numPr>
                <w:ilvl w:val="0"/>
                <w:numId w:val="40"/>
              </w:numPr>
            </w:pPr>
            <w:r>
              <w:rPr/>
              <w:t xml:space="preserve">rhinitis en sinusitis</w:t>
            </w:r>
          </w:p>
          <w:p>
            <w:pPr>
              <w:pStyle w:val="ListParagraph"/>
              <w:numPr>
                <w:ilvl w:val="1"/>
                <w:numId w:val="40"/>
              </w:numPr>
            </w:pPr>
            <w:r>
              <w:rPr/>
              <w:t xml:space="preserve">orale middelen</w:t>
            </w:r>
          </w:p>
          <w:p>
            <w:pPr>
              <w:pStyle w:val="ListParagraph"/>
              <w:numPr>
                <w:ilvl w:val="2"/>
                <w:numId w:val="40"/>
              </w:numPr>
            </w:pPr>
            <w:r>
              <w:rPr/>
              <w:t xml:space="preserve">vasoconstrictoren</w:t>
            </w:r>
          </w:p>
          <w:p>
            <w:pPr>
              <w:pStyle w:val="ListParagraph"/>
              <w:numPr>
                <w:ilvl w:val="2"/>
                <w:numId w:val="40"/>
              </w:numPr>
            </w:pPr>
            <w:r>
              <w:rPr/>
              <w:t xml:space="preserve">vasoconstrictoren + H1-antihistaminicum</w:t>
            </w:r>
          </w:p>
          <w:p>
            <w:pPr>
              <w:pStyle w:val="ListParagraph"/>
              <w:numPr>
                <w:ilvl w:val="2"/>
                <w:numId w:val="40"/>
              </w:numPr>
            </w:pPr>
            <w:r>
              <w:rPr/>
              <w:t xml:space="preserve">combinatiepreparaten</w:t>
            </w:r>
          </w:p>
          <w:p>
            <w:pPr>
              <w:pStyle w:val="ListParagraph"/>
              <w:numPr>
                <w:ilvl w:val="1"/>
                <w:numId w:val="40"/>
              </w:numPr>
            </w:pPr>
            <w:r>
              <w:rPr/>
              <w:t xml:space="preserve">nasale middelen</w:t>
            </w:r>
          </w:p>
          <w:p>
            <w:pPr>
              <w:pStyle w:val="ListParagraph"/>
              <w:numPr>
                <w:ilvl w:val="2"/>
                <w:numId w:val="40"/>
              </w:numPr>
            </w:pPr>
            <w:r>
              <w:rPr/>
              <w:t xml:space="preserve">zoutoplossingen</w:t>
            </w:r>
          </w:p>
          <w:p>
            <w:pPr>
              <w:pStyle w:val="ListParagraph"/>
              <w:numPr>
                <w:ilvl w:val="2"/>
                <w:numId w:val="40"/>
              </w:numPr>
            </w:pPr>
            <w:r>
              <w:rPr/>
              <w:t xml:space="preserve">vasoconstrictoren</w:t>
            </w:r>
          </w:p>
          <w:p>
            <w:pPr>
              <w:pStyle w:val="ListParagraph"/>
              <w:numPr>
                <w:ilvl w:val="2"/>
                <w:numId w:val="40"/>
              </w:numPr>
            </w:pPr>
            <w:r>
              <w:rPr/>
              <w:t xml:space="preserve">nasale corticosteroïden</w:t>
            </w:r>
          </w:p>
          <w:p>
            <w:pPr>
              <w:pStyle w:val="ListParagraph"/>
              <w:numPr>
                <w:ilvl w:val="2"/>
                <w:numId w:val="40"/>
              </w:numPr>
            </w:pPr>
            <w:r>
              <w:rPr/>
              <w:t xml:space="preserve">nasale antihistaminica</w:t>
            </w:r>
          </w:p>
          <w:p>
            <w:pPr>
              <w:pStyle w:val="ListParagraph"/>
              <w:numPr>
                <w:ilvl w:val="2"/>
                <w:numId w:val="40"/>
              </w:numPr>
            </w:pPr>
            <w:r>
              <w:rPr/>
              <w:t xml:space="preserve">combinatiepreparaten</w:t>
            </w:r>
          </w:p>
          <w:p>
            <w:pPr>
              <w:pStyle w:val="ListParagraph"/>
              <w:numPr>
                <w:ilvl w:val="1"/>
                <w:numId w:val="40"/>
              </w:numPr>
            </w:pPr>
            <w:r>
              <w:rPr/>
              <w:t xml:space="preserve">inhalatiemiddelen</w:t>
            </w:r>
          </w:p>
          <w:p>
            <w:pPr>
              <w:pStyle w:val="ListParagraph"/>
              <w:numPr>
                <w:ilvl w:val="0"/>
                <w:numId w:val="40"/>
              </w:numPr>
            </w:pPr>
            <w:r>
              <w:rPr/>
              <w:t xml:space="preserve">orofaryngeale aandoeningen</w:t>
            </w:r>
          </w:p>
          <w:p>
            <w:pPr>
              <w:pStyle w:val="ListParagraph"/>
              <w:numPr>
                <w:ilvl w:val="1"/>
                <w:numId w:val="40"/>
              </w:numPr>
            </w:pPr>
            <w:r>
              <w:rPr/>
              <w:t xml:space="preserve">zuigtabletten</w:t>
            </w:r>
          </w:p>
          <w:p>
            <w:pPr>
              <w:pStyle w:val="ListParagraph"/>
              <w:numPr>
                <w:ilvl w:val="0"/>
                <w:numId w:val="40"/>
              </w:numPr>
            </w:pPr>
            <w:r>
              <w:rPr/>
              <w:t xml:space="preserve">middelen voor gebruik in het oog</w:t>
            </w:r>
          </w:p>
          <w:p>
            <w:pPr>
              <w:pStyle w:val="ListParagraph"/>
              <w:numPr>
                <w:ilvl w:val="1"/>
                <w:numId w:val="40"/>
              </w:numPr>
            </w:pPr>
            <w:r>
              <w:rPr/>
              <w:t xml:space="preserve">antiseptica</w:t>
            </w:r>
          </w:p>
          <w:p>
            <w:pPr>
              <w:pStyle w:val="ListParagraph"/>
              <w:numPr>
                <w:ilvl w:val="1"/>
                <w:numId w:val="40"/>
              </w:numPr>
            </w:pPr>
            <w:r>
              <w:rPr/>
              <w:t xml:space="preserve">lokale antibiotica</w:t>
            </w:r>
          </w:p>
          <w:p>
            <w:pPr>
              <w:pStyle w:val="ListParagraph"/>
              <w:numPr>
                <w:ilvl w:val="1"/>
                <w:numId w:val="40"/>
              </w:numPr>
            </w:pPr>
            <w:r>
              <w:rPr/>
              <w:t xml:space="preserve">H1-antihistaminica</w:t>
            </w:r>
          </w:p>
          <w:p>
            <w:pPr>
              <w:pStyle w:val="ListParagraph"/>
              <w:numPr>
                <w:ilvl w:val="1"/>
                <w:numId w:val="40"/>
              </w:numPr>
            </w:pPr>
            <w:r>
              <w:rPr/>
              <w:t xml:space="preserve">kunsttranen</w:t>
            </w:r>
          </w:p>
          <w:p>
            <w:pPr>
              <w:pStyle w:val="ListParagraph"/>
              <w:numPr>
                <w:ilvl w:val="1"/>
                <w:numId w:val="40"/>
              </w:numPr>
            </w:pPr>
            <w:r>
              <w:rPr/>
              <w:t xml:space="preserve">middelen bij glaucoom</w:t>
            </w:r>
          </w:p>
          <w:p>
            <w:pPr>
              <w:pStyle w:val="ListParagraph"/>
              <w:numPr>
                <w:ilvl w:val="2"/>
                <w:numId w:val="40"/>
              </w:numPr>
            </w:pPr>
            <w:r>
              <w:rPr/>
              <w:t xml:space="preserve">bètablokkers</w:t>
            </w:r>
          </w:p>
          <w:p>
            <w:pPr>
              <w:pStyle w:val="ListParagraph"/>
              <w:numPr>
                <w:ilvl w:val="2"/>
                <w:numId w:val="40"/>
              </w:numPr>
            </w:pPr>
            <w:r>
              <w:rPr/>
              <w:t xml:space="preserve">alfa-sympathicomimetica</w:t>
            </w:r>
          </w:p>
          <w:p>
            <w:pPr>
              <w:pStyle w:val="ListParagraph"/>
              <w:numPr>
                <w:ilvl w:val="2"/>
                <w:numId w:val="40"/>
              </w:numPr>
            </w:pPr>
            <w:r>
              <w:rPr/>
              <w:t xml:space="preserve">prostaglandine analogen</w:t>
            </w:r>
          </w:p>
          <w:p>
            <w:pPr>
              <w:pStyle w:val="ListParagraph"/>
              <w:numPr>
                <w:ilvl w:val="2"/>
                <w:numId w:val="40"/>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de indeling in de verschillende hoofdgroepen en subgroepen uitleggen</w:t>
            </w:r>
          </w:p>
          <w:p>
            <w:pPr>
              <w:pStyle w:val="ListParagraph"/>
              <w:numPr>
                <w:ilvl w:val="0"/>
                <w:numId w:val="41"/>
              </w:numPr>
            </w:pPr>
            <w:r>
              <w:rPr/>
              <w:t xml:space="preserve">van elke hoofdgroep en subgroep de betekenis en de werking / toepassing verklaren</w:t>
            </w:r>
          </w:p>
          <w:p>
            <w:pPr>
              <w:pStyle w:val="ListParagraph"/>
              <w:numPr>
                <w:ilvl w:val="0"/>
                <w:numId w:val="41"/>
              </w:numPr>
            </w:pPr>
            <w:r>
              <w:rPr/>
              <w:t xml:space="preserve">ernstige bijwerkingen van de hoofdgroepen en subgroepen opsommen</w:t>
            </w:r>
          </w:p>
          <w:p>
            <w:pPr>
              <w:pStyle w:val="ListParagraph"/>
              <w:numPr>
                <w:ilvl w:val="0"/>
                <w:numId w:val="41"/>
              </w:numPr>
            </w:pPr>
            <w:r>
              <w:rPr/>
              <w:t xml:space="preserve">voor elke hoofdgroep en subgroep het algemeen gebruiksadvies kunnen geven (bijvoorbeeld moment van inname, bij de maaltijd of nuchter, gebruiksduur, …)</w:t>
            </w:r>
          </w:p>
          <w:p>
            <w:pPr>
              <w:pStyle w:val="ListParagraph"/>
              <w:numPr>
                <w:ilvl w:val="0"/>
                <w:numId w:val="41"/>
              </w:numPr>
            </w:pPr>
            <w:r>
              <w:rPr/>
              <w:t xml:space="preserve">voor elke hoofdgroep en subgroep voorbeelden geven</w:t>
            </w:r>
          </w:p>
          <w:p>
            <w:pPr>
              <w:pStyle w:val="ListParagraph"/>
              <w:numPr>
                <w:ilvl w:val="0"/>
                <w:numId w:val="4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2"/>
              </w:numPr>
            </w:pPr>
            <w:r>
              <w:rPr/>
              <w:t xml:space="preserve">OTC medicatie</w:t>
              <w:br/>
              <w:t xml:space="preserve"/>
              <w:br/>
              <w:t xml:space="preserve"/>
              <w:br/>
              <w:t xml:space="preserve"/>
            </w:r>
          </w:p>
          <w:p>
            <w:pPr>
              <w:pStyle w:val="ListParagraph"/>
              <w:numPr>
                <w:ilvl w:val="0"/>
                <w:numId w:val="42"/>
              </w:numPr>
            </w:pPr>
            <w:r>
              <w:rPr/>
              <w:t xml:space="preserve">klantenadvies</w:t>
            </w:r>
          </w:p>
          <w:p>
            <w:pPr>
              <w:pStyle w:val="ListParagraph"/>
              <w:numPr>
                <w:ilvl w:val="0"/>
                <w:numId w:val="42"/>
              </w:numPr>
            </w:pPr>
            <w:r>
              <w:rPr/>
              <w:t xml:space="preserve">therapietrouw</w:t>
              <w:br/>
              <w:t xml:space="preserve"/>
              <w:br/>
              <w:t xml:space="preserve"/>
            </w:r>
          </w:p>
          <w:p>
            <w:pPr>
              <w:pStyle w:val="ListParagraph"/>
              <w:numPr>
                <w:ilvl w:val="0"/>
                <w:numId w:val="42"/>
              </w:numPr>
            </w:pPr>
            <w:r>
              <w:rPr/>
              <w:t xml:space="preserve">bijsluiters</w:t>
            </w:r>
          </w:p>
          <w:p>
            <w:pPr>
              <w:pStyle w:val="ListParagraph"/>
              <w:numPr>
                <w:ilvl w:val="0"/>
                <w:numId w:val="42"/>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3"/>
              </w:numPr>
            </w:pPr>
            <w:r>
              <w:rPr/>
              <w:t xml:space="preserve">OTC medicatie herkennen ten opzichte van voorschriftplichtige medicatie</w:t>
            </w:r>
          </w:p>
          <w:p>
            <w:pPr>
              <w:pStyle w:val="ListParagraph"/>
              <w:numPr>
                <w:ilvl w:val="0"/>
                <w:numId w:val="43"/>
              </w:numPr>
            </w:pPr>
            <w:r>
              <w:rPr/>
              <w:t xml:space="preserve">voor veel voorkomende klachten advies geven wat betreft keuze aan OTC producten en weten wanneer naar een arts moet worden doorverwezen</w:t>
            </w:r>
          </w:p>
          <w:p>
            <w:pPr>
              <w:pStyle w:val="ListParagraph"/>
              <w:numPr>
                <w:ilvl w:val="0"/>
                <w:numId w:val="43"/>
              </w:numPr>
            </w:pPr>
            <w:r>
              <w:rPr/>
              <w:t xml:space="preserve">steeds adequaat klantenadvies verlenen (WHAM - principe)</w:t>
            </w:r>
          </w:p>
          <w:p>
            <w:pPr>
              <w:pStyle w:val="ListParagraph"/>
              <w:numPr>
                <w:ilvl w:val="0"/>
                <w:numId w:val="43"/>
              </w:numPr>
            </w:pPr>
            <w:r>
              <w:rPr/>
              <w:t xml:space="preserve">therapietrouw bij de patiënt controleren, stimuleren en bewaken.</w:t>
            </w:r>
          </w:p>
          <w:p>
            <w:pPr>
              <w:pStyle w:val="ListParagraph"/>
              <w:numPr>
                <w:ilvl w:val="0"/>
                <w:numId w:val="43"/>
              </w:numPr>
            </w:pPr>
            <w:r>
              <w:rPr/>
              <w:t xml:space="preserve">bijsluiters van geneesmiddelen aan patiënten toelichten</w:t>
            </w:r>
          </w:p>
          <w:p>
            <w:pPr>
              <w:pStyle w:val="ListParagraph"/>
              <w:numPr>
                <w:ilvl w:val="0"/>
                <w:numId w:val="43"/>
              </w:numPr>
            </w:pPr>
            <w:r>
              <w:rPr/>
              <w:t xml:space="preserve">bij een eerste aflevering het juist en veilig gebruik van orale, rectale, oculaire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VAKFICHE_farmacologie en kwaliteitszorg_bijlage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Belangrijk: tijdens het examen krijg je online toegang tot het gecommentarieerd geneesmiddelen repertorium via de BCFI – website namelijk https://www.bcfi.be/nl/chapters. Let wel, de bijsluiters kunnen tijdens het examen niet geraadpleegd worden.</w:t>
      </w:r>
    </w:p>
    <w:p>
      <w:pPr>
        <w:jc w:val="both"/>
      </w:pPr>
      <w:r>
        <w:t xml:space="preserve">Moet je dan geen parate kennis hebben? Toch wel, vooral van OTC-producten, die vrij af te leveren zijn.</w:t>
      </w:r>
    </w:p>
    <w:p>
      <w:pPr>
        <w:jc w:val="both"/>
      </w:pPr>
      <w:r>
        <w:t xml:space="preserve"/>
      </w:r>
    </w:p>
    <w:p>
      <w:pPr>
        <w:jc w:val="both"/>
      </w:pPr>
      <w:r>
        <w:t xml:space="preserve">Je maakt op het examen eventueel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opzoekvragen.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 H. 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1, Storms V., Foulon 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2, Foulon V., Cornwell 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9789462927575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voor apothekersassistenten-Basiswerk AG-F.A.C. van Opdorp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9789036826747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Farmaceutische patiëntenzorg-Basiswerk AG-F. van Opdorp, J. Mentink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9789036811972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Geneesmiddelenrepertorium</w:t>
              <w:br/>
              <w:t xml:space="preserve"/>
              <w:br/>
              <w:t xml:space="preserve">https://www.bcfi.be/nl/chapters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br/>
              <w:t xml:space="preserve"/>
              <w:br/>
              <w:t xml:space="preserve">https://www.pharmaceuticalcare.be/NL/uploads/documentenbank/f1473de1293745dd1af7df741bf44843.pdf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https://www.healthbase.nl/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https://www.belgianrespiratorysociety.be/nl/mypuff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www.apotheek.nl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www.kinderformularium.nl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www.farmacotherapeutischkompas.nl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www.thuisarts.nl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https://www.lareb.nl/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www.domusmedica.be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https://www.nhg.org/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www.gezondheidenwetenschap.be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www.wanda.be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