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examen (WT) 3 kso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2020 tot en met 31 december  2020</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De leerplandoelstellingen die de kandidaten moeten behalen om te slagen voor het vak Waarnemingstekenen 3kso komen uit het leerplan van het VVKSO (D/2011/7841/004), het GO! (2002/223) –  het GO! (2002/222) en het GO! DKO 2018-006 </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Je ontwikkelt in het vak waarnemingstekenen het visueel en tactiel bewustzijn en vermogen. </w:t>
        <w:br/>
        <w:t xml:space="preserve"/>
        <w:br/>
        <w:t xml:space="preserve">Je maakt kennis met de universele beeldende taal waarmee je jezelf kan uitdrukken en je begrijpt en hanteert die.</w:t>
        <w:br/>
        <w:t xml:space="preserve"/>
        <w:br/>
        <w:t xml:space="preserve">Tekenen is een primaire en universele vorm van communicatie, het is een dialoog met de ruimte. Door de ruimte op analytische en structurele wijze te bestuderen, leer je je op authentieke wijze uitdrukken. Je hanteert hiervoor specifieke materialen en technieken.</w:t>
        <w:br/>
        <w:t xml:space="preserve"/>
        <w:br/>
        <w:t xml:space="preserve">Het examen Waarnemingstekenen bestaat uit een mondeling en praktisch gedeelte. Het praktisch gedeelte  bestaat uit twee toonmomenten en één examenmoment waarbij in verschillende (deel)opdrachten jouw kennis en vaardigheden worden getest. </w:t>
        <w:br/>
        <w:t xml:space="preserve"/>
        <w:br/>
        <w:t xml:space="preserve">Je leert een goed plan opstellen. We dagen je eerst uit om het antwoord te vinden op de vraag wat we van je verwachten. Wat is je concrete opdracht voor dit vak, wat moet je bereiken, welke doelstellingen moet je realiseren en wat kan je met deze opdracht leren? Vervolgens moet je het plan natuurlijk ook vastleggen en uitvoeren: wat doe je eerst, waar haal je de nodige informatie vandaan, welk materiaal heb je nodig en wie spreek je aan als vastloopt? Tijdens je leerproces zal je je trouwens ook voortdurend moeten afvragen of je al bereikt wat je wilde bereiken en of je tevreden bent?</w:t>
        <w:br/>
        <w:t xml:space="preserve"/>
        <w:br/>
        <w:t xml:space="preserve">Alle vakken in je studierichting bereiden je voor op de noodzakelijke attitudes, kennis en vaardigheden om door te stromen naar de verschillende opties van de bachelor- en masteropleidingen van het hoger kunstonderwijs. Ook met het vak Waarnemingstekenen beogen we een brede vorming. </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gericht waarnemen en tekenmethodes toepassen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beeldende middelen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beeldende materialen en technieken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gedrevenheid en creatie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gericht waarnemen en tekenmethodes toepassen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analyserend tekenen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analyserend tekenen beschrijven en toelichten</w:t>
              <w:br/>
              <w:t xml:space="preserve"/>
              <w:br/>
              <w:t xml:space="preserve"> </w:t>
              <w:br/>
              <w:t xml:space="preserve"/>
              <w:br/>
              <w:t xml:space="preserve">een object, een object in een ruimte of een ruimte waarnemen, analyseren, onderzoeken en deze analyse gebruiken bij het analyserend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blindcontourtekenen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blindcontourtekenen beschrijven en toelichten</w:t>
              <w:br/>
              <w:t xml:space="preserve"/>
              <w:br/>
              <w:t xml:space="preserve"> </w:t>
              <w:br/>
              <w:t xml:space="preserve"/>
              <w:br/>
              <w:t xml:space="preserve">een object, een object in een ruimte of een ruimte waarnemen, analyseren, onderzoeken en deze analyse gebruiken bij het blindcontourtekenen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contourtekenen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contourtekenen beschrijven en toelichten</w:t>
              <w:br/>
              <w:t xml:space="preserve"/>
              <w:br/>
              <w:t xml:space="preserve"> </w:t>
              <w:br/>
              <w:t xml:space="preserve"/>
              <w:br/>
              <w:t xml:space="preserve">een object, een object in een ruimte of een ruimte waarnemen, analyseren, onderzoeken en deze analyse gebruiken bij het contourtekenen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meten en schatten in functie van de waarneming</w:t>
              <w:br/>
              <w:t xml:space="preserve"/>
              <w:br/>
              <w:t xml:space="preserve">(grootste hoogte/grootste breedte, afstanden,  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meten en schatten in functie van de waarneming beschrijven en toelichten</w:t>
              <w:br/>
              <w:t xml:space="preserve"/>
              <w:br/>
              <w:t xml:space="preserve"> </w:t>
              <w:br/>
              <w:t xml:space="preserve"/>
              <w:br/>
              <w:t xml:space="preserve">een object, een object in een ruimte of een ruimte waarnemen,  analyseren en onderzoeken via meet- en schatmethodes en deze analyse gebruiken bij het waarnemingstekenen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snelschetsen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snelschetsen beschrijven en toelichten</w:t>
              <w:br/>
              <w:t xml:space="preserve"/>
              <w:br/>
              <w:t xml:space="preserve"> </w:t>
              <w:br/>
              <w:t xml:space="preserve"/>
              <w:br/>
              <w:t xml:space="preserve">zich in een korte tijdspanne een beeld vormen van een object, een object in een ruimte of een ruimte en deze analyse gebruiken bij het snelschetsen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positieve en negatieve ruimte in functie van de waarneming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positieve en negatieve ruimte in functie van de waarneming beschrijven en toelichten</w:t>
              <w:br/>
              <w:t xml:space="preserve"/>
              <w:br/>
              <w:t xml:space="preserve"> </w:t>
              <w:br/>
              <w:t xml:space="preserve"/>
              <w:br/>
              <w:t xml:space="preserve">een object, een object in een ruimte of een ruimte waarnemen, analyseren en onderzoeken door toepassing van de positieve en negatieve ruimte bij het waarnemen en deze analyse gebruiken bij het waarnemingstekenen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beeldende middelen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compositie, organisatie, ordening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compositie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compositie  van een object, een object in een ruimte of ruimte herkennen, toelichten, analyseren, onderzoeken en deze analyse gebruiken bij het waarnemingstekenen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organisatie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organisatie van een object, een object in een ruimte of ruimte herkennen, toelichten, analyseren, onderzoeken en deze analyse gebruiken bij het waarnemingstekenen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ordening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ordening van een object, een object in een ruimte of ruimte herkennen, toelichten, analyseren, onderzoeken en deze analyse gebruiken bij het waarnemingstekenen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verhoudingen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verhoudingen binnen een object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verhoudingen binnen een object herkennen, toelichten analyseren, onderzoeken en deze analyse gebruiken bij het waarnemingstekenen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verhoudingen tussen verschillende objecten in een omgeving of ruimte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verhoudingen tussen de verschillende objecten in een omgeving of ruimte herkennen, toelichten, analyseren, onderzoeken en deze analyse gebruiken bij het waarnemingstekenen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vorm- en vormweergave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organische en geometrische vormen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organische en geometrische vormen herkennen, toelichten, analyseren, onderzoeken en deze analyse gebruiken bij het waarnemingstekenen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abstracte en figuurlijke vormen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abstracte en figuurlijke vormen herkennen, toelichten, analyseren, onderzoeken en deze analyse gebruiken bij het waarnemingstekenen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ruimte, ruimtewerking en volume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ruimte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ruimte binnen het waargenomen geheel toelichten, analyseren, onderzoeken en deze analyse gebruiken bij het waarnemingstekenen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ruimtewerking</w:t>
            </w:r>
          </w:p>
          <w:p>
            <w:pPr>
              <w:pStyle w:val="ListParagraph"/>
              <w:numPr>
                <w:ilvl w:val="0"/>
                <w:numId w:val="8"/>
              </w:numPr>
            </w:pPr>
            <w:r>
              <w:rPr/>
              <w:t xml:space="preserve">waargenomen diepte</w:t>
            </w:r>
          </w:p>
          <w:p>
            <w:pPr>
              <w:pStyle w:val="ListParagraph"/>
              <w:numPr>
                <w:ilvl w:val="0"/>
                <w:numId w:val="8"/>
              </w:numPr>
            </w:pPr>
            <w:r>
              <w:rPr/>
              <w:t xml:space="preserve">voorgrond</w:t>
            </w:r>
          </w:p>
          <w:p>
            <w:pPr>
              <w:pStyle w:val="ListParagraph"/>
              <w:numPr>
                <w:ilvl w:val="0"/>
                <w:numId w:val="8"/>
              </w:numPr>
            </w:pPr>
            <w:r>
              <w:rPr/>
              <w:t xml:space="preserve">achtergrond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ruimtewerking in al zijn facetten (waargenomen diepte, voorgrond en achtergrond) toelichten, analyseren, onderzoeken en deze analyse gebruiken bij het waarnemingstekenen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volume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volume toelichten, analyseren, onderzoeken en deze analyse gebruiken bij het waarnemingstekenen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contrast, licht-donker, kleur, toon- en grijswaarden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w:t>
            </w:r>
          </w:p>
          <w:p>
            <w:pPr>
              <w:pStyle w:val="ListParagraph"/>
              <w:numPr>
                <w:ilvl w:val="0"/>
                <w:numId w:val="9"/>
              </w:numPr>
            </w:pPr>
            <w:r>
              <w:rPr/>
              <w:t xml:space="preserve">contrast</w:t>
            </w:r>
          </w:p>
          <w:p>
            <w:pPr>
              <w:pStyle w:val="ListParagraph"/>
              <w:numPr>
                <w:ilvl w:val="0"/>
                <w:numId w:val="9"/>
              </w:numPr>
            </w:pPr>
            <w:r>
              <w:rPr/>
              <w:t xml:space="preserve">licht-donker</w:t>
            </w:r>
          </w:p>
          <w:p>
            <w:pPr>
              <w:pStyle w:val="ListParagraph"/>
              <w:numPr>
                <w:ilvl w:val="0"/>
                <w:numId w:val="9"/>
              </w:numPr>
            </w:pPr>
            <w:r>
              <w:rPr/>
              <w:t xml:space="preserve">kleur</w:t>
            </w:r>
          </w:p>
          <w:p>
            <w:pPr>
              <w:pStyle w:val="ListParagraph"/>
              <w:numPr>
                <w:ilvl w:val="0"/>
                <w:numId w:val="9"/>
              </w:numPr>
            </w:pPr>
            <w:r>
              <w:rPr/>
              <w:t xml:space="preserve">toon-en grijswaarden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contrast, licht-donker, kleur, toon- en grijswaarden herkennen, toelichten, analyseren, onderzoeken en deze analyse gebruiken bij het waarnemingstekenen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perspectief en constructie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w:t>
            </w:r>
          </w:p>
          <w:p>
            <w:pPr>
              <w:pStyle w:val="ListParagraph"/>
              <w:numPr>
                <w:ilvl w:val="0"/>
                <w:numId w:val="10"/>
              </w:numPr>
            </w:pPr>
            <w:r>
              <w:rPr/>
              <w:t xml:space="preserve">een perspectief met één vluchtpunt</w:t>
            </w:r>
          </w:p>
          <w:p>
            <w:pPr>
              <w:pStyle w:val="ListParagraph"/>
              <w:numPr>
                <w:ilvl w:val="0"/>
                <w:numId w:val="10"/>
              </w:numPr>
            </w:pPr>
            <w:r>
              <w:rPr/>
              <w:t xml:space="preserve">een perspectief met twee vluchtpunten</w:t>
            </w:r>
          </w:p>
          <w:p>
            <w:pPr>
              <w:pStyle w:val="ListParagraph"/>
              <w:numPr>
                <w:ilvl w:val="0"/>
                <w:numId w:val="10"/>
              </w:numPr>
            </w:pPr>
            <w:r>
              <w:rPr/>
              <w:t xml:space="preserve">een perspectief met drie vluchtpunten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perspectief met één vluchtpunt, perspectief met twee vluchtpunten en perspectief met drie vluchtpunten herkennen, toelichten,  analyseren, onderzoeken en deze analyse gebruiken bij het waarnemingstekenen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structuur, textuur, materiaalweergave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w:t>
            </w:r>
          </w:p>
          <w:p>
            <w:pPr>
              <w:pStyle w:val="ListParagraph"/>
              <w:numPr>
                <w:ilvl w:val="0"/>
                <w:numId w:val="11"/>
              </w:numPr>
            </w:pPr>
            <w:r>
              <w:rPr/>
              <w:t xml:space="preserve">structuur (de opbouw)</w:t>
            </w:r>
          </w:p>
          <w:p>
            <w:pPr>
              <w:pStyle w:val="ListParagraph"/>
              <w:numPr>
                <w:ilvl w:val="0"/>
                <w:numId w:val="11"/>
              </w:numPr>
            </w:pPr>
            <w:r>
              <w:rPr/>
              <w:t xml:space="preserve">textuur (de manier waarop het object is samengesteld)</w:t>
            </w:r>
          </w:p>
          <w:p>
            <w:pPr>
              <w:pStyle w:val="ListParagraph"/>
              <w:numPr>
                <w:ilvl w:val="0"/>
                <w:numId w:val="11"/>
              </w:numPr>
            </w:pPr>
            <w:r>
              <w:rPr/>
              <w:t xml:space="preserve">materiaal(weergave)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structuur, textuur en materiaal(weergave) van een waargenomen object herkennen, toelichten, analyseren, onderzoeken en deze analyse gebruiken bij het waarnemingstekenen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beeldende materialen en technieken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beeldende materialen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beeldend materiaal</w:t>
              <w:br/>
              <w:t xml:space="preserve"/>
              <w:br/>
              <w:t xml:space="preserve"/>
            </w:r>
          </w:p>
          <w:p>
            <w:pPr>
              <w:pStyle w:val="ListParagraph"/>
              <w:numPr>
                <w:ilvl w:val="0"/>
                <w:numId w:val="12"/>
              </w:numPr>
            </w:pPr>
            <w:r>
              <w:rPr/>
              <w:t xml:space="preserve">potlood</w:t>
            </w:r>
          </w:p>
          <w:p>
            <w:pPr>
              <w:pStyle w:val="ListParagraph"/>
              <w:numPr>
                <w:ilvl w:val="0"/>
                <w:numId w:val="12"/>
              </w:numPr>
            </w:pPr>
            <w:r>
              <w:rPr/>
              <w:t xml:space="preserve">pastel</w:t>
            </w:r>
          </w:p>
          <w:p>
            <w:pPr>
              <w:pStyle w:val="ListParagraph"/>
              <w:numPr>
                <w:ilvl w:val="0"/>
                <w:numId w:val="12"/>
              </w:numPr>
            </w:pPr>
            <w:r>
              <w:rPr/>
              <w:t xml:space="preserve">krijt (vet en droog)</w:t>
            </w:r>
          </w:p>
          <w:p>
            <w:pPr>
              <w:pStyle w:val="ListParagraph"/>
              <w:numPr>
                <w:ilvl w:val="0"/>
                <w:numId w:val="12"/>
              </w:numPr>
            </w:pPr>
            <w:r>
              <w:rPr/>
              <w:t xml:space="preserve">houtskool</w:t>
            </w:r>
          </w:p>
          <w:p>
            <w:pPr>
              <w:pStyle w:val="ListParagraph"/>
              <w:numPr>
                <w:ilvl w:val="0"/>
                <w:numId w:val="12"/>
              </w:numPr>
            </w:pPr>
            <w:r>
              <w:rPr/>
              <w:t xml:space="preserve">pen</w:t>
            </w:r>
          </w:p>
          <w:p>
            <w:pPr>
              <w:pStyle w:val="ListParagraph"/>
              <w:numPr>
                <w:ilvl w:val="0"/>
                <w:numId w:val="12"/>
              </w:numPr>
            </w:pPr>
            <w:r>
              <w:rPr/>
              <w:t xml:space="preserve">inkt</w:t>
            </w:r>
          </w:p>
          <w:p>
            <w:pPr>
              <w:pStyle w:val="ListParagraph"/>
              <w:numPr>
                <w:ilvl w:val="0"/>
                <w:numId w:val="12"/>
              </w:numPr>
            </w:pPr>
            <w:r>
              <w:rPr/>
              <w:t xml:space="preserve">penselen</w:t>
            </w:r>
          </w:p>
          <w:p>
            <w:pPr>
              <w:pStyle w:val="ListParagraph"/>
              <w:numPr>
                <w:ilvl w:val="0"/>
                <w:numId w:val="12"/>
              </w:numPr>
            </w:pPr>
            <w:r>
              <w:rPr/>
              <w:t xml:space="preserve">borstels</w:t>
            </w:r>
          </w:p>
          <w:p>
            <w:pPr>
              <w:pStyle w:val="ListParagraph"/>
              <w:numPr>
                <w:ilvl w:val="0"/>
                <w:numId w:val="12"/>
              </w:numPr>
            </w:pPr>
            <w:r>
              <w:rPr/>
              <w:t xml:space="preserve">verven (aquarel, acryl, gouache,...)</w:t>
            </w:r>
          </w:p>
          <w:p>
            <w:pPr>
              <w:pStyle w:val="ListParagraph"/>
              <w:numPr>
                <w:ilvl w:val="0"/>
                <w:numId w:val="12"/>
              </w:numPr>
            </w:pPr>
            <w:r>
              <w:rPr/>
              <w:t xml:space="preserve">papier (tekenkarton, linnen, hout,...) </w:t>
            </w:r>
          </w:p>
          <w:p>
            <w:pPr>
              <w:pStyle w:val="ListParagraph"/>
              <w:numPr>
                <w:ilvl w:val="0"/>
                <w:numId w:val="12"/>
              </w:numPr>
            </w:pPr>
            <w:r>
              <w:rPr/>
              <w:t xml:space="preserve">soorten dragers, hun textuur en hun formaat (blad - doek -paneel - muur - glas, ...)</w:t>
            </w:r>
          </w:p>
          <w:p>
            <w:pPr>
              <w:pStyle w:val="ListParagraph"/>
              <w:numPr>
                <w:ilvl w:val="0"/>
                <w:numId w:val="12"/>
              </w:numPr>
            </w:pPr>
            <w:r>
              <w:rPr/>
              <w:t xml:space="preserve">grafische computer hardware en - software (ICT)</w:t>
            </w:r>
          </w:p>
          <w:p>
            <w:pPr>
              <w:pStyle w:val="ListParagraph"/>
              <w:numPr>
                <w:ilvl w:val="0"/>
                <w:numId w:val="12"/>
              </w:numPr>
            </w:pPr>
            <w:r>
              <w:rPr/>
              <w:t xml:space="preserve">alle andere materialen die visuele twee- en/of driedimensionale sporen kunnen bevatten (bijvoorbeeld hout, metaal, zand, lucht, …)</w:t>
            </w:r>
          </w:p>
          <w:p>
            <w:pPr>
              <w:pStyle w:val="ListParagraph"/>
              <w:numPr>
                <w:ilvl w:val="0"/>
                <w:numId w:val="12"/>
              </w:numPr>
            </w:pPr>
            <w:r>
              <w:rPr/>
              <w:t xml:space="preserve">…</w:t>
            </w:r>
          </w:p>
          <w:p>
            <w:r>
              <w:rPr/>
              <w:t xml:space="preserve"> (deze opsomming is geen beperking)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beeldend materiaal  in al zijn facetten (potlood, pastel, krijt, houtskool, pen, inkt, …) herkennen, toelichten, analyseren, zelfstandig onderzoeken en mee experimenteren bij het ontwikkelen van persoonlijkheid, creativiteit en expressiviteit </w:t>
              <w:br/>
              <w:t xml:space="preserve"/>
              <w:br/>
              <w:t xml:space="preserve"> </w:t>
              <w:br/>
              <w:t xml:space="preserve"/>
              <w:br/>
              <w:t xml:space="preserve">het begrip beeldend materiaal in al zijn facetten (potlood, pastel, krijt, houtskool, pen, inkt, …) gemengd gebruiken in functie van een boodschap en/of inhoud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beeldende technieken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beeldende techniek</w:t>
              <w:br/>
              <w:t xml:space="preserve"/>
              <w:br/>
              <w:t xml:space="preserve"/>
            </w:r>
          </w:p>
          <w:p>
            <w:pPr>
              <w:pStyle w:val="ListParagraph"/>
              <w:numPr>
                <w:ilvl w:val="0"/>
                <w:numId w:val="13"/>
              </w:numPr>
            </w:pPr>
            <w:r>
              <w:rPr/>
              <w:t xml:space="preserve">potlood</w:t>
            </w:r>
          </w:p>
          <w:p>
            <w:pPr>
              <w:pStyle w:val="ListParagraph"/>
              <w:numPr>
                <w:ilvl w:val="0"/>
                <w:numId w:val="13"/>
              </w:numPr>
            </w:pPr>
            <w:r>
              <w:rPr/>
              <w:t xml:space="preserve">pastel</w:t>
            </w:r>
          </w:p>
          <w:p>
            <w:pPr>
              <w:pStyle w:val="ListParagraph"/>
              <w:numPr>
                <w:ilvl w:val="0"/>
                <w:numId w:val="13"/>
              </w:numPr>
            </w:pPr>
            <w:r>
              <w:rPr/>
              <w:t xml:space="preserve">krijt (vet en droog)</w:t>
            </w:r>
          </w:p>
          <w:p>
            <w:pPr>
              <w:pStyle w:val="ListParagraph"/>
              <w:numPr>
                <w:ilvl w:val="0"/>
                <w:numId w:val="13"/>
              </w:numPr>
            </w:pPr>
            <w:r>
              <w:rPr/>
              <w:t xml:space="preserve">houtskool</w:t>
            </w:r>
          </w:p>
          <w:p>
            <w:pPr>
              <w:pStyle w:val="ListParagraph"/>
              <w:numPr>
                <w:ilvl w:val="0"/>
                <w:numId w:val="13"/>
              </w:numPr>
            </w:pPr>
            <w:r>
              <w:rPr/>
              <w:t xml:space="preserve">pen</w:t>
            </w:r>
          </w:p>
          <w:p>
            <w:pPr>
              <w:pStyle w:val="ListParagraph"/>
              <w:numPr>
                <w:ilvl w:val="0"/>
                <w:numId w:val="13"/>
              </w:numPr>
            </w:pPr>
            <w:r>
              <w:rPr/>
              <w:t xml:space="preserve">inkt</w:t>
            </w:r>
          </w:p>
          <w:p>
            <w:pPr>
              <w:pStyle w:val="ListParagraph"/>
              <w:numPr>
                <w:ilvl w:val="0"/>
                <w:numId w:val="13"/>
              </w:numPr>
            </w:pPr>
            <w:r>
              <w:rPr/>
              <w:t xml:space="preserve">penselen</w:t>
            </w:r>
          </w:p>
          <w:p>
            <w:pPr>
              <w:pStyle w:val="ListParagraph"/>
              <w:numPr>
                <w:ilvl w:val="0"/>
                <w:numId w:val="13"/>
              </w:numPr>
            </w:pPr>
            <w:r>
              <w:rPr/>
              <w:t xml:space="preserve">borstels</w:t>
            </w:r>
          </w:p>
          <w:p>
            <w:pPr>
              <w:pStyle w:val="ListParagraph"/>
              <w:numPr>
                <w:ilvl w:val="0"/>
                <w:numId w:val="13"/>
              </w:numPr>
            </w:pPr>
            <w:r>
              <w:rPr/>
              <w:t xml:space="preserve">verven (aquarel, acryl, gouache,...)</w:t>
            </w:r>
          </w:p>
          <w:p>
            <w:pPr>
              <w:pStyle w:val="ListParagraph"/>
              <w:numPr>
                <w:ilvl w:val="0"/>
                <w:numId w:val="13"/>
              </w:numPr>
            </w:pPr>
            <w:r>
              <w:rPr/>
              <w:t xml:space="preserve">papier (tekenkarton, linnen, hout,...) </w:t>
            </w:r>
          </w:p>
          <w:p>
            <w:pPr>
              <w:pStyle w:val="ListParagraph"/>
              <w:numPr>
                <w:ilvl w:val="0"/>
                <w:numId w:val="13"/>
              </w:numPr>
            </w:pPr>
            <w:r>
              <w:rPr/>
              <w:t xml:space="preserve">soorten dragers en hun texturen, formaten</w:t>
            </w:r>
          </w:p>
          <w:p>
            <w:pPr>
              <w:pStyle w:val="ListParagraph"/>
              <w:numPr>
                <w:ilvl w:val="0"/>
                <w:numId w:val="13"/>
              </w:numPr>
            </w:pPr>
            <w:r>
              <w:rPr/>
              <w:t xml:space="preserve">grafische computerhardware (ICT)</w:t>
            </w:r>
          </w:p>
          <w:p>
            <w:pPr>
              <w:pStyle w:val="ListParagraph"/>
              <w:numPr>
                <w:ilvl w:val="0"/>
                <w:numId w:val="13"/>
              </w:numPr>
            </w:pPr>
            <w:r>
              <w:rPr/>
              <w:t xml:space="preserve">alle andere materialen die visuele twee- en/of driedimensionale sporen kunnen bevatten (bijvoorbeeld hout, metaal, zand, lucht, …)</w:t>
            </w:r>
          </w:p>
          <w:p>
            <w:pPr>
              <w:pStyle w:val="ListParagraph"/>
              <w:numPr>
                <w:ilvl w:val="0"/>
                <w:numId w:val="13"/>
              </w:numPr>
            </w:pPr>
            <w:r>
              <w:rPr/>
              <w:t xml:space="preserve">…</w:t>
            </w:r>
          </w:p>
          <w:p>
            <w:r>
              <w:rPr/>
              <w:t xml:space="preserve">(deze opsomming is geen beperking)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beeldende techniek in al zijn facetten (potlood, pastel, krijt, houtskool, pen, inkt, …) herkennen, toelichten, analyseren, zelfstandig onderzoeken en mee experimenteren bij het ontwikkelen van persoonlijkheid, creativiteit en expressiviteit</w:t>
              <w:br/>
              <w:t xml:space="preserve"/>
              <w:br/>
              <w:t xml:space="preserve"> </w:t>
              <w:br/>
              <w:t xml:space="preserve"/>
              <w:br/>
              <w:t xml:space="preserve">het begrip beeldende techniek in al zijn facetten (potlood, pastel, krijt, houtskool, pen, inkt, …) gemengd gebruiken in functie van een boodschap en/of inhoud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gedrevenheid en creatie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Individuele gedrevenheid komt tot uiting in de mate waarin je de verschillende bestudeerde beeldende uitdrukkingsvormen verkent. Deze verkenning vertrekt vanuit de eigen wil, de belangstelling en de behoefte om beeldende middelen tot uitdrukking te brengen door: zintuiglijke waarneming; ervaring en beleving; fantasie, transformatie en voorstelling; omschrijving; bespreking; duiding en waardering; ontleding en onderzoek; concludering en beoordeling.</w:t>
        <w:br/>
        <w:t xml:space="preserve"/>
        <w:br/>
        <w:t xml:space="preserve">Het is noodzakelijk dat je inzicht krijgt in je eigen manier van werken (competenties) zodat je jezelf daar waar nodig tijdig kan bijsturen. Je moet aanhoudend inzicht verwerven in wat je weet en (nog) niet weet, in wat je kent en (nog) niet kent, in welke vaardigheden je beheerst en welke (nog) niet, zodat je die kennis en vaardigheden daarna kan inzetten om weer nieuwe (beeldende) vaardigheden te verwerven of (beeldende) problemen op te lossen. </w:t>
        <w:br/>
        <w:t xml:space="preserve"/>
        <w:br/>
        <w:t xml:space="preserve">Hierbij hanteer je best een betekenisgerichte leerstijl: je houdt steeds de grote lijnen van je leerproces in de gaten en je bent kritisch belangstellend. Bovendien denk en handel je voortdurend toepassingsgericht: je bekijkt wat je in de praktijk kan aanvangen met wat je jezelf aanleerde (Wat kan ik ermee?).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(artistieke) persoonlijkheid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eigen (artistieke) persoonlijkheid ontwikkelen door je eigen waarnemings-, belevings- en verbeeldingswereld uit te breiden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(persoonlijke) beeldtaal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(persoonlijke) beeldtaal ontwikkelen door persoonlijke ervaringen, inzichten en verworven vaardigheden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(artistiek) parcours/proces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vertrouwen in je eigen (artistiek) parcours/proces en je eigen mogelijkheden aantonen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(artistieke) visie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eigen (artistieke) visie toelichten en aantonen met behulp van beeldende middelen</w:t>
              <w:br/>
              <w:t xml:space="preserve"/>
              <w:br/>
              <w:t xml:space="preserve">een eigen (artistieke) visie ontwikkelen rond de waargenomen, onderzochte en verbeelde ruimtelijke dimensies op basis van kennis, intuïtie, waarnemingen en inzichten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werkplan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werkplan herkennen, beschrijven en toelichten</w:t>
              <w:br/>
              <w:t xml:space="preserve"/>
              <w:br/>
              <w:t xml:space="preserve">een werkplan opmaken, bewaken 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probleemoplossend denken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zelfstandig problemen oplossen via  hulpmiddelen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reflectie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reflectie over je eigen werk en dat van anderen beschrijven, toelichten en gebruiken bij de ontwikkeling van je creatief leerproces en je artistieke ontwerpen/creaties</w:t>
              <w:br/>
              <w:t xml:space="preserve"/>
              <w:br/>
              <w:t xml:space="preserve">systematisch je eigen werk/handelingen en dat van anderen analyseren, onderzoeken en  een duidelijk beeld over je eigen kwaliteiten en beperkingen ontwikkelen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w:t>
            </w:r>
          </w:p>
          <w:p>
            <w:pPr>
              <w:pStyle w:val="ListParagraph"/>
              <w:numPr>
                <w:ilvl w:val="0"/>
                <w:numId w:val="14"/>
              </w:numPr>
            </w:pPr>
            <w:r>
              <w:rPr/>
              <w:t xml:space="preserve">intuïtie</w:t>
            </w:r>
          </w:p>
          <w:p>
            <w:pPr>
              <w:pStyle w:val="ListParagraph"/>
              <w:numPr>
                <w:ilvl w:val="0"/>
                <w:numId w:val="14"/>
              </w:numPr>
            </w:pPr>
            <w:r>
              <w:rPr/>
              <w:t xml:space="preserve">verbeelding</w:t>
            </w:r>
          </w:p>
          <w:p>
            <w:pPr>
              <w:pStyle w:val="ListParagraph"/>
              <w:numPr>
                <w:ilvl w:val="0"/>
                <w:numId w:val="14"/>
              </w:numPr>
            </w:pPr>
            <w:r>
              <w:rPr/>
              <w:t xml:space="preserve">ervaring</w:t>
            </w:r>
          </w:p>
          <w:p>
            <w:pPr>
              <w:pStyle w:val="ListParagraph"/>
              <w:numPr>
                <w:ilvl w:val="0"/>
                <w:numId w:val="14"/>
              </w:numPr>
            </w:pPr>
            <w:r>
              <w:rPr/>
              <w:t xml:space="preserve">emoties </w:t>
            </w:r>
          </w:p>
          <w:p>
            <w:pPr>
              <w:pStyle w:val="ListParagraph"/>
              <w:numPr>
                <w:ilvl w:val="0"/>
                <w:numId w:val="14"/>
              </w:numPr>
            </w:pPr>
            <w:r>
              <w:rPr/>
              <w:t xml:space="preserve">gedachten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intuïtie, verbeelding, ervaring, emoties en gedachten toelichten, analyseren, onderzoeken en gebruiken in je artistieke ontwerpen/creaties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w:t>
            </w:r>
          </w:p>
          <w:p>
            <w:pPr>
              <w:pStyle w:val="ListParagraph"/>
              <w:numPr>
                <w:ilvl w:val="0"/>
                <w:numId w:val="15"/>
              </w:numPr>
            </w:pPr>
            <w:r>
              <w:rPr/>
              <w:t xml:space="preserve">het onverwachte</w:t>
            </w:r>
          </w:p>
          <w:p>
            <w:pPr>
              <w:pStyle w:val="ListParagraph"/>
              <w:numPr>
                <w:ilvl w:val="0"/>
                <w:numId w:val="15"/>
              </w:numPr>
            </w:pPr>
            <w:r>
              <w:rPr/>
              <w:t xml:space="preserve">het toevallige </w:t>
            </w:r>
          </w:p>
          <w:p>
            <w:pPr>
              <w:pStyle w:val="ListParagraph"/>
              <w:numPr>
                <w:ilvl w:val="0"/>
                <w:numId w:val="15"/>
              </w:numPr>
            </w:pPr>
            <w:r>
              <w:rPr/>
              <w:t xml:space="preserve">het onbekende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confrontatie met het onverwachte, het toevallige, het onbekende herkennen, toelichten en hierbij initiatief nemen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presentatie(voorstelling)technieken</w:t>
            </w:r>
          </w:p>
          <w:p>
            <w:pPr>
              <w:pStyle w:val="ListParagraph"/>
              <w:numPr>
                <w:ilvl w:val="0"/>
                <w:numId w:val="16"/>
              </w:numPr>
            </w:pPr>
            <w:r>
              <w:rPr/>
              <w:t xml:space="preserve">verbaal</w:t>
            </w:r>
          </w:p>
          <w:p>
            <w:pPr>
              <w:pStyle w:val="ListParagraph"/>
              <w:numPr>
                <w:ilvl w:val="0"/>
                <w:numId w:val="16"/>
              </w:numPr>
            </w:pPr>
            <w:r>
              <w:rPr/>
              <w:t xml:space="preserve">driedimensionale voorstelling (schetsen, schaaltekening, …)</w:t>
            </w:r>
          </w:p>
          <w:p>
            <w:pPr>
              <w:pStyle w:val="ListParagraph"/>
              <w:numPr>
                <w:ilvl w:val="0"/>
                <w:numId w:val="16"/>
              </w:numPr>
            </w:pPr>
            <w:r>
              <w:rPr/>
              <w:t xml:space="preserve">digitaal</w:t>
            </w:r>
          </w:p>
          <w:p>
            <w:pPr>
              <w:pStyle w:val="ListParagraph"/>
              <w:numPr>
                <w:ilvl w:val="0"/>
                <w:numId w:val="16"/>
              </w:numPr>
            </w:pPr>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presentatie(voorstelling)technieken in al zijn facetten (verbaal, driedimensionale voorstelling, digitaal, …)herkennen,  beschrijven en toelichten</w:t>
              <w:br/>
              <w:t xml:space="preserve"/>
              <w:br/>
              <w:t xml:space="preserve">de presentatie/voorstelling van het werk op een creatieve manier uitvoeren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Als je je inschrijft voor het vak Waarnemingstekenen 3 kso ontvang je de volledige opdracht (de deelopdrachten bij de toonmomenten en de examenopdracht) ongeveer een drietal weken voorafgaande aan de datum van het eerste toonmoment. Er zijn drie evaluatiemomenten voor dit vak: twee toonmomenten en één examenmoment.</w:t>
      </w:r>
    </w:p>
    <w:p>
      <w:pPr>
        <w:jc w:val="both"/>
      </w:pPr>
      <w:r>
        <w:t xml:space="preserve">De deelopdrachten bij de toonmomenten maak je thuis. Afhankelijk van de opdracht kan het zijn dat je ook de dag van het toonmoment zelf ter plaatse op de examenlocatie een onderdeel van deze opdracht dient uit te werken.</w:t>
        <w:br/>
        <w:t>De examenopdracht werk je ter plaatse uit op de examenlocatie zelf. </w:t>
        <w:br/>
        <w:t>De richtlijnen staan duidelijk vermeld in de volledige opdracht.</w:t>
      </w:r>
    </w:p>
    <w:p>
      <w:pPr>
        <w:jc w:val="both"/>
      </w:pPr>
      <w:r>
        <w:t xml:space="preserve">Tijdens de toonmomenten kom je je werk voorstellen en mondeling verdedigen (afhankelijk van de opdracht werk je ook een deel van de deelopdracht uit op het toonmoment zelf). Je wordt </w:t>
        <w:br/>
        <w:t>mondeling ondervraagd over de leerinhouden en er wordt gekeken of je de vaktermen voldoende</w:t>
        <w:br/>
        <w:t>beheerst. Tijdens het examenmoment moet je ter plaatse een opdracht uitwerken en zal je ook dit werk mondeling toelichten.</w:t>
      </w:r>
    </w:p>
    <w:p>
      <w:pPr>
        <w:jc w:val="both"/>
      </w:pPr>
      <w:r>
        <w:t xml:space="preserve">Alle werken die getoond worden tijdens de drie evaluatiemomenten worden gefotografeerd en</w:t>
        <w:br/>
        <w:t>digitaal bewaard.</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240 minuten voor examens vanaf 01-01-2020 tot 31-12-2020</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Wanneer je je inschrijft voor het vak Waarnemingstekenen 3kso schrijf je je automatisch in voor de twee toonmomenten en het examen. Je moet de drie onderdelen afleggen om te kunnen slagen voor dit vak! Op het platform staan de tijdstippen van de toonmomenten en het examenmoment vermeld.</w:t>
      </w:r>
    </w:p>
    <w:p>
      <w:pPr>
        <w:jc w:val="both"/>
      </w:pPr>
      <w:r>
        <w:t xml:space="preserve"/>
      </w:r>
    </w:p>
    <w:p>
      <w:pPr>
        <w:jc w:val="both"/>
      </w:pPr>
      <w:r>
        <w:t xml:space="preserve">Als je ingeschreven bent voor dit vak, krijg je via het platform de volledige opdracht doorgestuurd ongeveer een drietal weken voorafgaande aan de datum van het eerste toonmoment. </w:t>
      </w:r>
    </w:p>
    <w:p>
      <w:pPr>
        <w:jc w:val="both"/>
      </w:pPr>
      <w:r>
        <w:t xml:space="preserve"/>
      </w:r>
    </w:p>
    <w:p>
      <w:pPr>
        <w:jc w:val="both"/>
      </w:pPr>
      <w:r>
        <w:t xml:space="preserve">Wegens Coronamaatregelen worden de toonmomenten en het examen samen georganiseerd en leg je alle onderdelen op dezelfde dag af.</w:t>
      </w:r>
    </w:p>
    <w:p>
      <w:pPr>
        <w:jc w:val="both"/>
      </w:pPr>
      <w:r>
        <w:t xml:space="preserve"/>
      </w:r>
    </w:p>
    <w:p>
      <w:pPr>
        <w:jc w:val="both"/>
      </w:pPr>
      <w:r>
        <w:t xml:space="preserve">De deelopdrachten bij de toonmomenten maak je thuis. Afhankelijk van de opdracht kan het zijn dat je ook ter plaatse op de examenlocatie een onderdeel van deze opdracht dient uit te werken.</w:t>
      </w:r>
    </w:p>
    <w:p>
      <w:pPr>
        <w:jc w:val="both"/>
      </w:pPr>
      <w:r>
        <w:t xml:space="preserve">De examenopdracht werk je ter plaatse uit op de examenlocatie zelf.</w:t>
      </w:r>
    </w:p>
    <w:p>
      <w:pPr>
        <w:jc w:val="both"/>
      </w:pPr>
      <w:r>
        <w:t xml:space="preserve">De richtlijnen staan duidelijk vermeld in de volledige opdracht.</w:t>
      </w:r>
    </w:p>
    <w:p>
      <w:pPr>
        <w:jc w:val="both"/>
      </w:pPr>
      <w:r>
        <w:t xml:space="preserve"/>
      </w:r>
    </w:p>
    <w:p>
      <w:pPr>
        <w:jc w:val="both"/>
      </w:pPr>
      <w:r>
        <w:t xml:space="preserve"/>
      </w:r>
    </w:p>
    <w:p>
      <w:pPr>
        <w:jc w:val="both"/>
      </w:pPr>
      <w:r>
        <w:t xml:space="preserve">Tijdens de evaluatiemomenten zal je kort je uitgewerkte opdrachten moeten presenteren en toelichten. Je wordt ook mondeling ondervraagd over de leerinhouden en er wordt gekeken of je de vaktermen voldoende beheerst.</w:t>
      </w:r>
    </w:p>
    <w:p>
      <w:pPr>
        <w:jc w:val="both"/>
      </w:pPr>
      <w:r>
        <w:t xml:space="preserve"/>
      </w:r>
    </w:p>
    <w:p>
      <w:pPr>
        <w:jc w:val="both"/>
      </w:pPr>
      <w:r>
        <w:t xml:space="preserve">Tijdens de toonmomenten krijg je feedback op je geleverde werk met als doel je proces en je product zelfstandig te kunnen bijsturen.</w:t>
      </w:r>
    </w:p>
    <w:p>
      <w:pPr>
        <w:jc w:val="both"/>
      </w:pPr>
      <w:r>
        <w:t xml:space="preserve"/>
      </w:r>
    </w:p>
    <w:p>
      <w:pPr>
        <w:jc w:val="both"/>
      </w:pPr>
      <w:r>
        <w:t xml:space="preserve">Tijdens de verschillende evaluatiemomenten wordt rekening gehouden met de evaluatiecriteria weergegeven in de opdracht.</w:t>
      </w:r>
    </w:p>
    <w:p>
      <w:pPr>
        <w:jc w:val="both"/>
      </w:pPr>
      <w:r>
        <w:t xml:space="preserve"/>
      </w:r>
    </w:p>
    <w:p>
      <w:pPr>
        <w:jc w:val="both"/>
      </w:pPr>
      <w:r>
        <w:t xml:space="preserve">Je meldt je stipt aan op elk toonmoment en het examenmoment conform het examenreglement van de Examencommissie. De examenlocatie wordt vermeld op het platform bij de toonmomenten en het examen waarvoor je bent ingeschreven.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Dat is afhankelijk van de opdracht. Je brengt zelf al het nodige materiaal mee naar de toonmomenten en het examen. Dit materiaal wordt duidelijk weergegeven in de verschillende opdrachten.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De Examencommissie voorziet geen materiaal en leent geen materiaal uit.</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Je wordt mondeling ondervraagd over de leerinhouden en er wordt gekeken of je de vaktermen voldoende beheerst.</w:t>
      </w:r>
    </w:p>
    <w:p>
      <w:pPr>
        <w:jc w:val="both"/>
      </w:pPr>
      <w:r>
        <w:t xml:space="preserve">Er worden bijvoorbeeld vragen gesteld over de perspectief-regels naar waarneming, licht, diepte, schaduw, materialenleer en toepassingen, ...</w:t>
      </w:r>
    </w:p>
    <w:p>
      <w:pPr>
        <w:jc w:val="both"/>
      </w:pPr>
      <w:r>
        <w:t xml:space="preserve"/>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Tijdens de verschillende evaluatiemomenten wordt rekening gehouden met de evaluatiecriteria weergegeven in de opdracht.</w:t>
      </w:r>
    </w:p>
    <w:p>
      <w:pPr>
        <w:jc w:val="both"/>
      </w:pPr>
      <w:r>
        <w:t xml:space="preserve">Het examen wordt onder andere beoordeeld op technische vaardigheden: perspectief-regels naar waarneming, toepassen van licht, diepte en schaduw in het tekenwerk, het gebruik van materialen en de bladschikking, ...</w:t>
      </w:r>
    </w:p>
    <w:p>
      <w:pPr>
        <w:jc w:val="both"/>
      </w:pPr>
      <w:r>
        <w:t xml:space="preserve"/>
      </w:r>
    </w:p>
    <w:p>
      <w:pPr>
        <w:jc w:val="both"/>
      </w:pPr>
      <w:r>
        <w:t xml:space="preserve">Let op, op het platform worden de punten van de toonmomenten en het examen apart weergegeven op 100.</w:t>
      </w:r>
    </w:p>
    <w:p>
      <w:pPr>
        <w:jc w:val="both"/>
      </w:pPr>
      <w:r>
        <w:t xml:space="preserve">Deze drie onderdelen hebben echter een verschillend gewicht. In het totaal moet je 50% behalen om te slagen.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Toonmoment 1 Waarnemingstekenen 3kso</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Toonmoment 2 Waarnemingstekenen 3kso</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Examen Waarnemingstekenen 3kso</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examen (WT) 3 kso - 25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examen (WT) 3 kso - 25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examen (WT) 3 kso - 50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 </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 </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 </w:t>
        <w:br/>
        <w:t xml:space="preserve"/>
        <w:br/>
        <w:t xml:space="preserve">Hieronder staan enkele handboeken en verwijzen we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Titel</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Auteur/Uitgeverij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Gegevens/ISBN</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THE ART OF DRAWING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Chaet, B.,  Harcourt Brace Jovanovich College Publishers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SBN 0-03062028-7</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DESIGN–DRAWING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Ching, F. D.K., Juroszek, S. P., Van Nostrand Reinhold</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SBN 0-442-01909-2</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KLEURENLEER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Fraser, T.,  Librero, Kerkdriel, 2006</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9789057645839</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HET FENOMEEN KLEUR,</w:t>
              <w:br/>
              <w:t xml:space="preserve"/>
              <w:br/>
              <w:t xml:space="preserve">De nieuwe kleurenleer gebaseerd op wetmatigheden van kleurperceptie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Gerritsen, F.,  De Bilt – Cantecleer</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9021300559,</w:t>
              <w:br/>
              <w:t xml:space="preserve"/>
              <w:br/>
              <w:t xml:space="preserve">ISBN 9789021300559</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MENSELIJKE MAAT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Haak A.J.H.,  De Vrije Uitgevers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9789040725678</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KLEURPOTLODEN,</w:t>
              <w:br/>
              <w:t xml:space="preserve"/>
              <w:br/>
              <w:t xml:space="preserve">Adviezen voor materiaal en techniek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Hutton-Jamieson,  Veenendaal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9060176383</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HART VOOR ARCHITECTUUR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Nelissen, N., Uitgeverij Lambo</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9789080785724</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UIT DE HAND - SCHETSVAARDIGHEDEN IN DE BOUWKUNDESTUDIE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Haaften A., Publikatieburo Bouwkunde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9789052692388</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KUNST &amp; KLEUR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Zuffi, S.,  Ludion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109461300506,</w:t>
              <w:br/>
              <w:t xml:space="preserve"/>
              <w:br/>
              <w:t xml:space="preserve">ISBN 139789461300508</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www.frameweb.com</w:t>
              <w:br/>
              <w:t xml:space="preserve"/>
              <w:br/>
              <w:t xml:space="preserve"> </w:t>
              <w:br/>
              <w:t xml:space="preserve"/>
              <w:br/>
              <w:t xml:space="preserv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t>
              <w:br/>
              <w:t xml:space="preserve"/>
              <w:br/>
              <w:t xml:space="preserve"> </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Uitgever</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p>
          <w:p>
            <w:pPr>
              <w:pStyle w:val="ListParagraph"/>
              <w:numPr>
                <w:ilvl w:val="0"/>
                <w:numId w:val="17"/>
              </w:numPr>
            </w:pPr>
            <w:r>
              <w:rPr/>
              <w:t xml:space="preserve">FRAME (interieur, design en toegepaste kunst)</w:t>
            </w:r>
          </w:p>
          <w:p>
            <w:pPr>
              <w:pStyle w:val="ListParagraph"/>
              <w:numPr>
                <w:ilvl w:val="0"/>
                <w:numId w:val="17"/>
              </w:numPr>
            </w:pPr>
            <w:r>
              <w:rPr/>
              <w:t xml:space="preserve">MARK (interieur en architectuur)</w:t>
            </w:r>
          </w:p>
          <w:p>
            <w:pPr>
              <w:pStyle w:val="ListParagraph"/>
              <w:numPr>
                <w:ilvl w:val="0"/>
                <w:numId w:val="17"/>
              </w:numPr>
            </w:pPr>
            <w:r>
              <w:rPr/>
              <w:t xml:space="preserve">ELEPHANT (vrije beeldende kunsten)</w:t>
            </w:r>
          </w:p>
          <w:p>
            <w:r>
              <w:rPr/>
              <w:t xml:space="preserve"> </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uitgegeven door Frame Publishers</w:t>
              <w:br/>
              <w:t xml:space="preserve"/>
              <w:br/>
              <w:t xml:space="preserve">www.frameweb.com</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Kunstschrift.(Werken rond thema’s), een tweemaandelijks kunsttijdschrift.</w:t>
              <w:br/>
              <w:t xml:space="preserve"> </w:t>
              <w:br/>
              <w:t xml:space="preserve"/>
              <w:br/>
              <w:t xml:space="preserve"> </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Postbus 10859, 1001 EW Amsterdam.</w:t>
              <w:br/>
              <w:t xml:space="preserve"/>
              <w:br/>
              <w:t xml:space="preserve">- 020-625 1607.</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