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natuurwetenschappen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2023 tot en met 31 december  2023</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natuurwetenschappen van de tweede graad TSO handelt over 'materie', 'energie', 'kracht en beweging'. Een blijvende kennis van deze thema's is zeker aangewezen, want in deze vakfiche worden ze verder uitgediept. Bovendien bevat deze vakfiche een belangrijke component biologie waarin het thema 'Leven' uitgebreid aan bod komt.</w:t>
        <w:br/>
        <w:t xml:space="preserve"/>
        <w:br/>
        <w:t xml:space="preserve"/>
      </w:r>
      <w:r>
        <w:rPr>
          <w:b/>
        </w:rPr>
        <w:t xml:space="preserve">Van kennis... </w:t>
      </w:r>
      <w:r>
        <w:rPr/>
        <w:t xml:space="preserve"/>
        <w:br/>
        <w:t xml:space="preserve"/>
        <w:br/>
        <w:t xml:space="preserve">Binnen het vak natuurwetenschappen zitten zowel biologie, chemie als fysica vervat. Deze wetenschappen sluiten bij elkaar aan en leveren samen de essentiële kennis zodat we de werkelijkheid beter begrijpen. Denk bijvoorbeeld aan onze huidige kennis van het DNA: We hebben antwoord op eeuwenoude vragen over erfelijkheid en evolutie, waardoor we bepaalde ziekten kunnen verhelpen en misverstanden zoals het onderscheiden van mensen in rassen ontkrachten. </w:t>
        <w:br/>
        <w:t xml:space="preserve"/>
        <w:br/>
        <w:t xml:space="preserve"/>
      </w:r>
      <w:r>
        <w:rPr>
          <w:b/>
        </w:rPr>
        <w:t xml:space="preserve">... naar oplossingen.</w:t>
      </w:r>
      <w:r>
        <w:rPr/>
        <w:t xml:space="preserve"/>
        <w:br/>
        <w:t xml:space="preserve"/>
        <w:br/>
        <w:t xml:space="preserve">In onze snel veranderende wereld is er een voortdurende wisselwerking tussen natuurwetenschappen en maatschappij. Nieuwe problemen zoals klimaatopwarming, bevolkingsgroei, vervuiling, ... dagen de wetenschappers uit in hun zoektocht naar antwoorden. Ze vormen de noodzakelijk prikkel tot innovatie. Dagelijks experimenteert men overal ter wereld met nieuwe technieken. Denk maar aan het kweken van vlees in het laboratorium of het gebruik van nanotechnologie om drinkwater te zuiveren. Maar je kan ook het omgekeerde stellen: wetenschappelijke innovaties kunnen een grote sociale, ecologische en/of economische impact hebben. Heb je al eens opgezocht waar de onderdelen van je smartphone vandaan komen, wat de impact is van de ontginning van de ertsen, en van de groeiende 'technologische' afvalberg? Ook komen nieuwe technieken al eens in aanvaring met de waarden binnen de maatschappij. Zo stelt zich de vraag hoe ver wetenschappers mogen gaan in het klonen van dieren. En hoe verantwoord is het dure onderzoek naar leven op Mars?</w:t>
        <w:br/>
        <w:t xml:space="preserve"/>
        <w:br/>
        <w:t xml:space="preserve"/>
      </w:r>
      <w:r>
        <w:rPr>
          <w:b/>
        </w:rPr>
        <w:t xml:space="preserve">Ook jij! </w:t>
      </w:r>
      <w:r>
        <w:rPr/>
        <w:t xml:space="preserve"/>
        <w:br/>
        <w:t xml:space="preserve"/>
        <w:br/>
        <w:t xml:space="preserve">De kennis van natuurwetenschappen helpt je om kritisch na te denken zodat je de juiste keuzes kan maken. Ben je bang voor genetisch gemanipuleerd voedsel? Ben je je bewust van de impact van plastic afval? Sta je kritisch tegenover kernenergie?</w:t>
        <w:br/>
        <w:t xml:space="preserve"/>
        <w:br/>
        <w:t xml:space="preserve">Voor deze vakfiche selecteerden we inhouden die aansluiten bij de eindtermen van de Vlaamse overheid. Deze eindtermen vormen de basis voor onze examens. Zo toetsen we of je de vereiste vaardigheden en competenties voldoende beheerst. </w:t>
      </w:r>
    </w:p>
    <w:p>
      <w:r>
        <w:rPr/>
        <w:t xml:space="preserve"/>
      </w:r>
      <w:r>
        <w:rPr>
          <w:color w:val="00B050"/>
        </w:rPr>
        <w:t/>
      </w:r>
    </w:p>
    <w:p w14:paraId="70391787" w14:textId="3DB223A8" w:rsidR="00047953" w:rsidRDefault="001D02B3" w:rsidP="0082741A">
      <w:r>
        <w:rPr>
          <w:color w:val="00B050"/>
        </w:rPr>
        <w:t/>
      </w:r>
      <w:r>
        <w:t/>
      </w:r>
      <w:r>
        <w:rPr/>
        <w:t xml:space="preserve">      </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BIOLOGIE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FYSICA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CHEMIE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br/>
        <w:t xml:space="preserve"/>
      </w:r>
    </w:p>
    <w:p>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van </w:t>
      </w:r>
      <w:r>
        <w:rPr>
          <w:b/>
        </w:rPr>
        <w:t xml:space="preserve">werkwoorden</w:t>
      </w:r>
      <w:r>
        <w:rPr/>
        <w:t xml:space="preserve"> en de betekenis die je eraan moet verbinden. Neem deze lijst grondig door, zodat je op een efficiënte manier met de leerstof aan de slag gaat.</w:t>
      </w:r>
    </w:p>
    <w:p>
      <w:r>
        <w:rPr/>
        <w:t xml:space="preserve"/>
        <w:br/>
        <w:t xml:space="preserve"/>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bronmateriaal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onderscheiden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 (omrekenen)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begrip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Verderop in de vakfiche vind je ook </w:t>
      </w:r>
      <w:r>
        <w:rPr>
          <w:b/>
        </w:rPr>
        <w:t xml:space="preserve">leermiddelen</w:t>
      </w:r>
      <w:r>
        <w:rPr/>
        <w:t xml:space="preserve"> die je kunnen helpen om volgende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BIOLOGIE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cel als biologische basiseenheid van de levende materie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bouw van een dierlijke cel te kennen</w:t>
              <w:br/>
              <w:t xml:space="preserve"/>
              <w:br/>
              <w:t xml:space="preserve">celorganellen: celkern, mitochondriën, lysosomen, ruwen glad endoplasmatisch reticulum, ribosomen, golgi-apparaat, centriolen, celmembraan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microscopische en submicroscopische waarneembare celorganellen herkennen</w:t>
              <w:br/>
              <w:t xml:space="preserve"/>
              <w:br/>
              <w:t xml:space="preserve">de functie van de hiernaast opgesomde celorganellen beschrijven</w:t>
              <w:br/>
              <w:t xml:space="preserve"/>
              <w:br/>
              <w:t xml:space="preserve">functionele verbanden tussen de verschillende celorganellen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cel binnen een organisme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celdifferentiatie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Voortplanting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Genetisch materiaal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DNA herkennen en schematisch voorstellen</w:t>
              <w:br/>
              <w:t xml:space="preserve"/>
              <w:br/>
              <w:t xml:space="preserve">de bouwstenen van een DNA-molecule benoemen</w:t>
              <w:br/>
              <w:t xml:space="preserve"/>
              <w:br/>
              <w:t xml:space="preserve">chromosomen, chromatide en chromatine in de cel situeren en de begrippen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in de celcyclus (G1, S, G2, celdeling) herkennen en toelichten</w:t>
              <w:br/>
              <w:t xml:space="preserve"/>
              <w:br/>
              <w:t xml:space="preserve">DNA-replicatie situeren in de celcyclus en de verschillende fasen toelichten</w:t>
              <w:br/>
              <w:t xml:space="preserve"/>
              <w:br/>
              <w:t xml:space="preserve">het belang van DNA-replicatie verklaren</w:t>
              <w:br/>
              <w:t xml:space="preserve"/>
              <w:br/>
              <w:t xml:space="preserve">de mitose en meiose in de celcyclus situeren en toelichten</w:t>
              <w:br/>
              <w:t xml:space="preserve"/>
              <w:br/>
              <w:t xml:space="preserve">de begrippen diploïd en haploïd toelichten</w:t>
              <w:br/>
              <w:t xml:space="preserve"/>
              <w:br/>
              <w:t xml:space="preserve">het verloop van mitose en meiose vergelijken</w:t>
              <w:br/>
              <w:t xml:space="preserve"/>
              <w:br/>
              <w:t xml:space="preserve">het belang van mitose verklaren</w:t>
              <w:br/>
              <w:t xml:space="preserve"/>
              <w:br/>
              <w:t xml:space="preserve">het verband leggen tussen het belang van meiose, geslachtelijke voortplanting en het ontstaan van variatie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Hormonale regeling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ontwikkeling van mannelijk en vrouwelijke voortplantingsorganen en de geslachtshormonen oestrogeen, progesteron en testosteron</w:t>
              <w:br/>
              <w:t xml:space="preserve"/>
              <w:br/>
              <w:t xml:space="preserve">onderdelen van de vrouwelijke en mannelijke voortplantingsorganen herkennen en de bouw en functie van de voortplantingsorganen toelichten</w:t>
              <w:br/>
              <w:t xml:space="preserve"/>
              <w:br/>
              <w:t xml:space="preserve">de hormonale regeling van zaadcel -en eicelvorming aan de hand van eenvoudige schema’s en figuren toelichten</w:t>
              <w:br/>
              <w:t xml:space="preserve"/>
              <w:br/>
              <w:t xml:space="preserve">de hormonale regeling van de menstruele cyclus aan de hand van eenvoudige schema’s en figuren toelichten</w:t>
              <w:br/>
              <w:t xml:space="preserve"/>
              <w:br/>
              <w:t xml:space="preserve">de invloed van omgevingsfactoren op de ontwikkeling van het embryo en de foetus toelichten</w:t>
              <w:br/>
              <w:t xml:space="preserve"/>
              <w:br/>
              <w:t xml:space="preserve">de werking en betrouwbaarheid van hormonale en andere anticonceptiva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8"/>
              </w:numPr>
            </w:pPr>
            <w:r>
              <w:rPr/>
              <w:t xml:space="preserve">religieuze standpunten en wetenschappelijke onderbouwde argumenten tegenover condoomgebruik, contraceptiva, abortus, ..</w:t>
            </w:r>
          </w:p>
          <w:p>
            <w:pPr>
              <w:pStyle w:val="ListParagraph"/>
              <w:numPr>
                <w:ilvl w:val="0"/>
                <w:numId w:val="8"/>
              </w:numPr>
            </w:pPr>
            <w:r>
              <w:rPr/>
              <w:t xml:space="preserve">het ethische aspect bij behandeling van onvruchtbaarheid, prenatale diagnostiek (NIPT), uitstelbaby’s, draagmoederschap ,...</w:t>
            </w:r>
          </w:p>
          <w:p>
            <w:pPr>
              <w:pStyle w:val="ListParagraph"/>
              <w:numPr>
                <w:ilvl w:val="0"/>
                <w:numId w:val="8"/>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Erfelijkheid en variatie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Chromosomale erfelijkheid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begrippen toepassen in vragen over erfelijkheid: gen, dominant en recessief allel, multiple allelen, homozygoot en heterozygoot, genotype en fenotype, dominant/recessieve en intermediaire overerving</w:t>
              <w:br/>
              <w:t xml:space="preserve"/>
              <w:br/>
              <w:t xml:space="preserve">aan de hand van eenvoudige kruisingsschema’s en/of stambomen:</w:t>
            </w:r>
          </w:p>
          <w:p>
            <w:pPr>
              <w:pStyle w:val="ListParagraph"/>
              <w:numPr>
                <w:ilvl w:val="0"/>
                <w:numId w:val="9"/>
              </w:numPr>
            </w:pPr>
            <w:r>
              <w:rPr/>
              <w:t xml:space="preserve">de overerving van kenmerken afleiden</w:t>
            </w:r>
          </w:p>
          <w:p>
            <w:pPr>
              <w:pStyle w:val="ListParagraph"/>
              <w:numPr>
                <w:ilvl w:val="0"/>
                <w:numId w:val="9"/>
              </w:numPr>
            </w:pPr>
            <w:r>
              <w:rPr/>
              <w:t xml:space="preserve">de overerving van het geslacht afleiden</w:t>
            </w:r>
          </w:p>
          <w:p>
            <w:pPr>
              <w:pStyle w:val="ListParagraph"/>
              <w:numPr>
                <w:ilvl w:val="0"/>
                <w:numId w:val="9"/>
              </w:numPr>
            </w:pPr>
            <w:r>
              <w:rPr/>
              <w:t xml:space="preserve">de overerving van bloedgroepen en resusfactor afleiden</w:t>
            </w:r>
          </w:p>
          <w:p>
            <w:pPr>
              <w:pStyle w:val="ListParagraph"/>
              <w:numPr>
                <w:ilvl w:val="0"/>
                <w:numId w:val="9"/>
              </w:numPr>
            </w:pPr>
            <w:r>
              <w:rPr/>
              <w:t xml:space="preserve">de overerving van geslachtsgebonden kenmerken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Genexpressie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beeldmateriaal het mechanisme van de verschillende stappen van de eiwitsynthese herkennen en toelichten</w:t>
              <w:br/>
              <w:t xml:space="preserve"/>
              <w:br/>
              <w:t xml:space="preserve">het verband leggen tussen eiwitsynthese en genexpressie</w:t>
              <w:br/>
              <w:t xml:space="preserve"/>
              <w:br/>
              <w:t xml:space="preserve">aan de hand van voorbeelden verklaren dat variatie tussen organismen ontstaat door een wisselwerking tussen genetisch materiaal (erfelijkheid) en omgevingsinvloeden (mutaties)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0"/>
              </w:numPr>
            </w:pPr>
            <w:r>
              <w:rPr/>
              <w:t xml:space="preserve">de impact van wetenschappelijke kennis en ontwikkeling op de verdraagzaamheid tegenover seksuele geaardheid, lichamelijke diversiteit, ..</w:t>
            </w:r>
          </w:p>
          <w:p>
            <w:pPr>
              <w:pStyle w:val="ListParagraph"/>
              <w:numPr>
                <w:ilvl w:val="0"/>
                <w:numId w:val="10"/>
              </w:numPr>
            </w:pPr>
            <w:r>
              <w:rPr/>
              <w:t xml:space="preserve">de impact van inteelt op de genetische variatie</w:t>
            </w:r>
          </w:p>
          <w:p>
            <w:pPr>
              <w:pStyle w:val="ListParagraph"/>
              <w:numPr>
                <w:ilvl w:val="0"/>
                <w:numId w:val="10"/>
              </w:numPr>
            </w:pPr>
            <w:r>
              <w:rPr/>
              <w:t xml:space="preserve">de ethische en maatschappelijke dimensie van bio- en gentechnologie</w:t>
            </w:r>
          </w:p>
          <w:p>
            <w:pPr>
              <w:pStyle w:val="ListParagraph"/>
              <w:numPr>
                <w:ilvl w:val="0"/>
                <w:numId w:val="10"/>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Biologische 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Biologische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grote stappen in de biologische evolutie van organismen, met inbegrip van de mens, herkennen en toelichten</w:t>
              <w:br/>
              <w:t xml:space="preserve"/>
              <w:br/>
              <w:t xml:space="preserve">natuurlijke selectie als drijfveer van evolutie toelichten</w:t>
              <w:br/>
              <w:t xml:space="preserve"/>
              <w:br/>
              <w:t xml:space="preserve">de principes van de evolutietheorie van Lamarck en de evolutietheorie van Darwin toelichten</w:t>
              <w:br/>
              <w:t xml:space="preserve"/>
              <w:br/>
              <w:t xml:space="preserve">wetenschappelijk onderbouwde argumenten voor de biologische evolutie van organismen, met inbegrip van de mens, toelichten</w:t>
              <w:br/>
              <w:t xml:space="preserve"/>
              <w:br/>
              <w:t xml:space="preserve">de moderne evolutietheorie door ontwikkelingen op het gebied van moleculaire genetica toelichten</w:t>
              <w:br/>
              <w:t xml:space="preserve"/>
              <w:br/>
              <w:t xml:space="preserve">soortvorming binnen populaties en het ontstaan van nieuwe soorten door variatie, overerving, selectiedruk, isolatie en genetische drift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1"/>
              </w:numPr>
            </w:pPr>
            <w:r>
              <w:rPr/>
              <w:t xml:space="preserve">de wijziging van biodiversiteit onder invloed van de mens en de klimaatverandering</w:t>
            </w:r>
          </w:p>
          <w:p>
            <w:pPr>
              <w:pStyle w:val="ListParagraph"/>
              <w:numPr>
                <w:ilvl w:val="0"/>
                <w:numId w:val="11"/>
              </w:numPr>
            </w:pPr>
            <w:r>
              <w:rPr/>
              <w:t xml:space="preserve">andere standpunten over de evolutie (scheppingsleer, creationisme, … ) tegenover wetenschappelijk onderbouwde argumenten</w:t>
            </w:r>
          </w:p>
          <w:p>
            <w:pPr>
              <w:pStyle w:val="ListParagraph"/>
              <w:numPr>
                <w:ilvl w:val="0"/>
                <w:numId w:val="11"/>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FYSICA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Elektrodynamica</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Elektrische stroomkring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geleiders en isolatoren herkennen</w:t>
              <w:br/>
              <w:t xml:space="preserve"/>
              <w:br/>
              <w:t xml:space="preserve">aan de hand van het hydrodynamisch model de begrippen stroomsterkte, spanning en spanningsbron toelichten</w:t>
              <w:br/>
              <w:t xml:space="preserve"/>
              <w:br/>
              <w:t xml:space="preserve">een schematische voorstelling van een eenvoudige elektrische keten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Elektrisch vermogen</w:t>
              <w:br/>
              <w:t xml:space="preserve"/>
              <w:br/>
              <w:t xml:space="preserve">Elektrische energie en de eenheid kWh</w:t>
              <w:br/>
              <w:t xml:space="preserve"/>
              <w:br/>
              <w:t xml:space="preserve">Joule-effect</w:t>
              <w:br/>
              <w:t xml:space="preserve"/>
              <w:br/>
              <w:t xml:space="preserve">Kostprijsberekening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energieomzettingen in een eenvoudige elektrische schakeling herkennen en toelichten</w:t>
              <w:br/>
              <w:t xml:space="preserve"/>
              <w:br/>
              <w:t xml:space="preserve">het elektrisch vermogen en de elektrische energie herkennen en toelichten in een eenvoudige elektrische schakeling</w:t>
              <w:br/>
              <w:t xml:space="preserve"/>
              <w:br/>
              <w:t xml:space="preserve">warmte-ontwikkeling (Joule-effect) bij een ohmse weerstand herkennen en toelichten</w:t>
              <w:br/>
              <w:t xml:space="preserve"/>
              <w:br/>
              <w:t xml:space="preserve">de elektrische energie omrekenen naar de eenheid kWh</w:t>
              <w:br/>
              <w:t xml:space="preserve"/>
              <w:br/>
              <w:t xml:space="preserve">kostprijs berekenen van elektrische energie met gegeven eenheidstarief (energiefactuur)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Veilig gebruik van elektrische stroom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kortsluiting en overbelasting herkennen en toelichten</w:t>
              <w:br/>
              <w:t xml:space="preserve"/>
              <w:br/>
              <w:t xml:space="preserve">principes van veiligheid in een elektrische installatie herkennen en toelichten</w:t>
              <w:br/>
              <w:t xml:space="preserve"/>
              <w:br/>
              <w:t xml:space="preserve">de werking toelichten van de automatische zekering, de verliesstroomschakelaar en aarding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Elektrodynamica,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2"/>
              </w:numPr>
            </w:pPr>
            <w:r>
              <w:rPr/>
              <w:t xml:space="preserve">factoren die de energiefactuur beïnvloeden zoals de keuze voor energiezuinige toestellen (energielabels) en sluimerverbruik</w:t>
            </w:r>
          </w:p>
          <w:p>
            <w:pPr>
              <w:pStyle w:val="ListParagraph"/>
              <w:numPr>
                <w:ilvl w:val="0"/>
                <w:numId w:val="12"/>
              </w:numPr>
            </w:pPr>
            <w:r>
              <w:rPr/>
              <w:t xml:space="preserve">het correct gebruik van elektrische toestellen om gevaren (brand, elektrocutie, . . .) te voorkomen</w:t>
            </w:r>
          </w:p>
          <w:p>
            <w:pPr>
              <w:pStyle w:val="ListParagraph"/>
              <w:numPr>
                <w:ilvl w:val="0"/>
                <w:numId w:val="12"/>
              </w:numPr>
            </w:pPr>
            <w:r>
              <w:rPr/>
              <w:t xml:space="preserv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Kernfysica</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nucleonental, protonental en neutronental herkennen en toelichten</w:t>
              <w:br/>
              <w:t xml:space="preserve"/>
              <w:br/>
              <w:t xml:space="preserve">het begrip isotoop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Alfa, bèta, gamma-straling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transmutatieregels herkennen en toelichten</w:t>
              <w:br/>
              <w:t xml:space="preserve"/>
              <w:br/>
              <w:t xml:space="preserve">doordringbaarheid en ioniserend vermogen van alfa-, bèta en gamma-straling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Halveringstijd</w:t>
              <w:br/>
              <w:t xml:space="preserve"/>
              <w:br/>
              <w:t xml:space="preserve">Activiteit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halveringstijd en activiteit herkennen en toelichten</w:t>
              <w:br/>
              <w:t xml:space="preserve"/>
              <w:br/>
              <w:t xml:space="preserve">het verband beschrijven tussen de halveringstijd en de activiteit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Kernfusie en kernsplijting</w:t>
              <w:br/>
              <w:t xml:space="preserve"/>
              <w:br/>
              <w:t xml:space="preserve">Opwekken van elektrische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kernfusie en kernsplijting herkennen en toelichten</w:t>
              <w:br/>
              <w:t xml:space="preserve"/>
              <w:br/>
              <w:t xml:space="preserve">energie die vrijkomt bij kernfusie en kernsplijting herkennen en toelichten</w:t>
              <w:br/>
              <w:t xml:space="preserve"/>
              <w:br/>
              <w:t xml:space="preserve">de globale werking van een kerncentrale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Besmetting en bestraling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besmetting en bestraling herkennen en toelichten</w:t>
              <w:br/>
              <w:t xml:space="preserve"/>
              <w:br/>
              <w:t xml:space="preserve">maatregelen die besmetting en bestraling voorkomen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Kernfysica,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3"/>
              </w:numPr>
            </w:pPr>
            <w:r>
              <w:rPr/>
              <w:t xml:space="preserve">Het verdelen van jodiumpillen voor de bescherming van de bevolking bij een nucleair ongeval</w:t>
            </w:r>
          </w:p>
          <w:p>
            <w:pPr>
              <w:pStyle w:val="ListParagraph"/>
              <w:numPr>
                <w:ilvl w:val="0"/>
                <w:numId w:val="13"/>
              </w:numPr>
            </w:pPr>
            <w:r>
              <w:rPr/>
              <w:t xml:space="preserve">Het gebruik van radioactieve tracers en ioniserende straling bij medische onderzoeken en behandelingen</w:t>
            </w:r>
          </w:p>
          <w:p>
            <w:pPr>
              <w:pStyle w:val="ListParagraph"/>
              <w:numPr>
                <w:ilvl w:val="0"/>
                <w:numId w:val="13"/>
              </w:numPr>
            </w:pPr>
            <w:r>
              <w:rPr/>
              <w:t xml:space="preserve">De effecten van de geplande stopzetting van de kerncentrales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Geluid en straling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Basisbegrippen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Basisgrootheden van lopende golven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amplitude, de periode, de frequentie, de voortplantingssnelheid en de golflengte van een lopende golf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golven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mechanische en elektromagnetische golven onderscheiden van elkaar in voorbeelden</w:t>
              <w:br/>
              <w:t xml:space="preserve"/>
              <w:br/>
              <w:t xml:space="preserve">transversale en longitudinale golven onderscheiden van elkaar In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lopende golven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eigenschappen herkennen: terugkaatsing, breking, buiging en resonantie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Geluid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geluid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geluid herkennen als een mechanische longitudinale golf</w:t>
              <w:br/>
              <w:t xml:space="preserve"/>
              <w:br/>
              <w:t xml:space="preserve">het verschil in lichtsnelheid en geluidsnelheid toepassen in eenvoudige voorbeelden</w:t>
              <w:br/>
              <w:t xml:space="preserve"/>
              <w:br/>
              <w:t xml:space="preserve">ultrasoon en infrasoon geluid herkennen en toelichten</w:t>
              <w:br/>
              <w:t xml:space="preserve"/>
              <w:br/>
              <w:t xml:space="preserve">het verband leggen tussen frequentie en toonhoogte</w:t>
              <w:br/>
              <w:t xml:space="preserve"/>
              <w:br/>
              <w:t xml:space="preserve">het verband leggen tussen amplitude en toonsterkte</w:t>
              <w:br/>
              <w:t xml:space="preserve"/>
              <w:br/>
              <w:t xml:space="preserve">het geluidsniveau (dB) toepassen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Geluid,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4"/>
              </w:numPr>
            </w:pPr>
            <w:r>
              <w:rPr/>
              <w:t xml:space="preserve">het gebruik van sonar bij het navigeren</w:t>
            </w:r>
          </w:p>
          <w:p>
            <w:pPr>
              <w:pStyle w:val="ListParagraph"/>
              <w:numPr>
                <w:ilvl w:val="0"/>
                <w:numId w:val="14"/>
              </w:numPr>
            </w:pPr>
            <w:r>
              <w:rPr/>
              <w:t xml:space="preserve">het gebruik van echoscopie bij medische beeldvorming</w:t>
            </w:r>
          </w:p>
          <w:p>
            <w:pPr>
              <w:pStyle w:val="ListParagraph"/>
              <w:numPr>
                <w:ilvl w:val="0"/>
                <w:numId w:val="14"/>
              </w:numPr>
            </w:pPr>
            <w:r>
              <w:rPr/>
              <w:t xml:space="preserve">maatregelen om geluidsoverlast te beperken zoals geluidsschermen en het spreidingsplan</w:t>
            </w:r>
          </w:p>
          <w:p>
            <w:pPr>
              <w:pStyle w:val="ListParagraph"/>
              <w:numPr>
                <w:ilvl w:val="0"/>
                <w:numId w:val="14"/>
              </w:numPr>
            </w:pPr>
            <w:r>
              <w:rPr/>
              <w:t xml:space="preserve">het gebruik van gehoorbescherming om gehoorschade te voorkomen</w:t>
            </w:r>
          </w:p>
          <w:p>
            <w:pPr>
              <w:pStyle w:val="ListParagraph"/>
              <w:numPr>
                <w:ilvl w:val="0"/>
                <w:numId w:val="14"/>
              </w:numPr>
            </w:pPr>
            <w:r>
              <w:rPr/>
              <w:t xml:space="preserv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Straling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Elektromagnetisch spectrum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elektromagnetische golven herkennen als niet-mechanische transversale golven</w:t>
              <w:br/>
              <w:t xml:space="preserve"/>
              <w:br/>
              <w:t xml:space="preserve">bronnen van verschillende gebieden in het elektromagnetisch spectrum beschrijven</w:t>
              <w:br/>
              <w:t xml:space="preserve"/>
              <w:br/>
              <w:t xml:space="preserve">frequentie en golflengte in verband brengen met de energie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Straling,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5"/>
              </w:numPr>
            </w:pPr>
            <w:r>
              <w:rPr/>
              <w:t xml:space="preserve">het gebruik van röntgenstraling bij medische beeldvorming</w:t>
            </w:r>
          </w:p>
          <w:p>
            <w:pPr>
              <w:pStyle w:val="ListParagraph"/>
              <w:numPr>
                <w:ilvl w:val="0"/>
                <w:numId w:val="15"/>
              </w:numPr>
            </w:pPr>
            <w:r>
              <w:rPr/>
              <w:t xml:space="preserve">toepassingen in en om het huis die bijdragen tot de elektrosmog</w:t>
            </w:r>
          </w:p>
          <w:p>
            <w:pPr>
              <w:pStyle w:val="ListParagraph"/>
              <w:numPr>
                <w:ilvl w:val="0"/>
                <w:numId w:val="15"/>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Koolstofverbindingen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op basis van de molecuulformule herkennen als organische of anorganische stoffen met inbegrip van de koolstofverbindingen die geen organische stoffen zijn</w:t>
              <w:br/>
              <w:t xml:space="preserve"/>
              <w:br/>
              <w:t xml:space="preserve">de verschillende bindingsmogelijkheden rond het koolstofatoom herkennen en toelichten aan de hand van de elektronenconfiguratie</w:t>
              <w:br/>
              <w:t xml:space="preserve"/>
              <w:br/>
              <w:t xml:space="preserve">het verband leggen tussen de wetenschappelijke voorstellingen van organische moleculen (skeletstructuren, verkorte notaties, schematische voorstellingen) en de overeenkomstige structuurformules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Aardolieproducten:</w:t>
            </w:r>
          </w:p>
          <w:p>
            <w:pPr>
              <w:pStyle w:val="ListParagraph"/>
              <w:numPr>
                <w:ilvl w:val="0"/>
                <w:numId w:val="16"/>
              </w:numPr>
            </w:pPr>
            <w:r>
              <w:rPr/>
              <w:t xml:space="preserve">alkanen</w:t>
            </w:r>
          </w:p>
          <w:p>
            <w:pPr>
              <w:pStyle w:val="ListParagraph"/>
              <w:numPr>
                <w:ilvl w:val="0"/>
                <w:numId w:val="16"/>
              </w:numPr>
            </w:pPr>
            <w:r>
              <w:rPr/>
              <w:t xml:space="preserve">alkenen</w:t>
            </w:r>
          </w:p>
          <w:p>
            <w:pPr>
              <w:pStyle w:val="ListParagraph"/>
              <w:numPr>
                <w:ilvl w:val="0"/>
                <w:numId w:val="16"/>
              </w:numPr>
            </w:pPr>
            <w:r>
              <w:rPr/>
              <w:t xml:space="preserve">alkynen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alkanen tot 10 C-atomen, etheen en ethyn, op basis van een gegeven structuurformule of brutoformule, benoemen - en omgekeerd</w:t>
              <w:br/>
              <w:t xml:space="preserve"/>
              <w:br/>
              <w:t xml:space="preserve">wetenschappelijke voorstellingen van vertakte/onvertakte ketens, verzadigde/onverzadigde en cyclische/acyclische KWS herkennen</w:t>
              <w:br/>
              <w:t xml:space="preserve"/>
              <w:br/>
              <w:t xml:space="preserve">het verband leggen tussen de moleculaire structuur en kookpunt, smeltpunt en oplosbaarheid (oplosbaarheidsregel in verband met polariteit)</w:t>
              <w:br/>
              <w:t xml:space="preserve"/>
              <w:br/>
              <w:t xml:space="preserve">het gebruik van methaan, propaan en butaan illustreren</w:t>
              <w:br/>
              <w:t xml:space="preserve"/>
              <w:br/>
              <w:t xml:space="preserve">het verband leggen tussen broeikasgassen en de klimaatverandering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Mono-en polyfunctionele koolstofverbindingen</w:t>
              <w:br/>
              <w:t xml:space="preserve"/>
              <w:br/>
              <w:t xml:space="preserve"> </w:t>
              <w:br/>
              <w:t xml:space="preserve"/>
              <w:br/>
              <w:t xml:space="preserve">Monofunctionele koolstofverbindingen:</w:t>
              <w:br/>
              <w:t xml:space="preserve"/>
              <w:br/>
              <w:t xml:space="preserve"/>
            </w:r>
          </w:p>
          <w:p>
            <w:pPr>
              <w:pStyle w:val="ListParagraph"/>
              <w:numPr>
                <w:ilvl w:val="0"/>
                <w:numId w:val="17"/>
              </w:numPr>
            </w:pPr>
            <w:r>
              <w:rPr/>
              <w:t xml:space="preserve">halogeenalkanen</w:t>
            </w:r>
          </w:p>
          <w:p>
            <w:pPr>
              <w:pStyle w:val="ListParagraph"/>
              <w:numPr>
                <w:ilvl w:val="0"/>
                <w:numId w:val="17"/>
              </w:numPr>
            </w:pPr>
            <w:r>
              <w:rPr/>
              <w:t xml:space="preserve">alcoholen</w:t>
            </w:r>
          </w:p>
          <w:p>
            <w:pPr>
              <w:pStyle w:val="ListParagraph"/>
              <w:numPr>
                <w:ilvl w:val="0"/>
                <w:numId w:val="17"/>
              </w:numPr>
            </w:pPr>
            <w:r>
              <w:rPr/>
              <w:t xml:space="preserve">ethers</w:t>
            </w:r>
          </w:p>
          <w:p>
            <w:pPr>
              <w:pStyle w:val="ListParagraph"/>
              <w:numPr>
                <w:ilvl w:val="0"/>
                <w:numId w:val="17"/>
              </w:numPr>
            </w:pPr>
            <w:r>
              <w:rPr/>
              <w:t xml:space="preserve">aldehyden</w:t>
            </w:r>
          </w:p>
          <w:p>
            <w:pPr>
              <w:pStyle w:val="ListParagraph"/>
              <w:numPr>
                <w:ilvl w:val="0"/>
                <w:numId w:val="17"/>
              </w:numPr>
            </w:pPr>
            <w:r>
              <w:rPr/>
              <w:t xml:space="preserve">ketonen</w:t>
            </w:r>
          </w:p>
          <w:p>
            <w:pPr>
              <w:pStyle w:val="ListParagraph"/>
              <w:numPr>
                <w:ilvl w:val="0"/>
                <w:numId w:val="17"/>
              </w:numPr>
            </w:pPr>
            <w:r>
              <w:rPr/>
              <w:t xml:space="preserve">carbonzuren</w:t>
            </w:r>
          </w:p>
          <w:p>
            <w:pPr>
              <w:pStyle w:val="ListParagraph"/>
              <w:numPr>
                <w:ilvl w:val="0"/>
                <w:numId w:val="17"/>
              </w:numPr>
            </w:pPr>
            <w:r>
              <w:rPr/>
              <w:t xml:space="preserve">esters</w:t>
            </w:r>
          </w:p>
          <w:p>
            <w:pPr>
              <w:pStyle w:val="ListParagraph"/>
              <w:numPr>
                <w:ilvl w:val="0"/>
                <w:numId w:val="17"/>
              </w:numPr>
            </w:pPr>
            <w:r>
              <w:rPr/>
              <w:t xml:space="preserve">aminen</w:t>
            </w:r>
          </w:p>
          <w:p>
            <w:r>
              <w:rPr/>
              <w:t xml:space="preserve"> </w:t>
              <w:br/>
              <w:t xml:space="preserve"/>
              <w:br/>
              <w:t xml:space="preserve"> </w:t>
              <w:br/>
              <w:t xml:space="preserve"/>
              <w:br/>
              <w:t xml:space="preserve">Vluchtige Organische Stoffen (VOS)</w:t>
              <w:br/>
              <w:t xml:space="preserve"/>
              <w:br/>
              <w:t xml:space="preserve"> </w:t>
              <w:br/>
              <w:t xml:space="preserve"/>
              <w:br/>
              <w:t xml:space="preserve"> </w:t>
              <w:br/>
              <w:t xml:space="preserve"/>
              <w:br/>
              <w:t xml:space="preserve">Chloor Fluor Koolwaterstoffen (CFK)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functionele groep bij een gegeven structuurformule herkennen</w:t>
              <w:br/>
              <w:t xml:space="preserve"/>
              <w:br/>
              <w:t xml:space="preserve">met behulp van de determinatietabel in bijlage, een gegeven koolstofverbinding aan de hand van de molecuulformule, systematische naam of structuurformule bij de overeenkomstige monofunctionele koolstofverbindingsklasse situeren</w:t>
              <w:br/>
              <w:t xml:space="preserve"/>
              <w:br/>
              <w:t xml:space="preserve">kookpunt, smeltpunt en oplosbaarheid in verband brengen met het koolstofskelet en de polariteit als gevolg van de functionele groep)</w:t>
              <w:br/>
              <w:t xml:space="preserve"/>
              <w:br/>
              <w:t xml:space="preserve">het gebruik van chloroform, methanol, ethanol, diëthylether, formaldehyde, aceton, mierenzuur en azijnzuur illustreren</w:t>
              <w:br/>
              <w:t xml:space="preserve"/>
              <w:br/>
              <w:t xml:space="preserve">het voorkomen van VOS in uiteenlopende dagelijkse producten illustreren</w:t>
              <w:br/>
              <w:t xml:space="preserve"/>
              <w:br/>
              <w:t xml:space="preserve">de gevolgen van het gebruik van VOS op de gezondheid en het leefmilieu herkennen en toelichten</w:t>
              <w:br/>
              <w:t xml:space="preserve"/>
              <w:br/>
              <w:t xml:space="preserve">het voorkomen van CFK’s illustreren</w:t>
              <w:br/>
              <w:t xml:space="preserve"/>
              <w:br/>
              <w:t xml:space="preserve">het verband leggen tussen CFK’s en het 'gat’ in de ozonlaag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Biomoleculen:</w:t>
            </w:r>
          </w:p>
          <w:p>
            <w:pPr>
              <w:pStyle w:val="ListParagraph"/>
              <w:numPr>
                <w:ilvl w:val="0"/>
                <w:numId w:val="18"/>
              </w:numPr>
            </w:pPr>
            <w:r>
              <w:rPr/>
              <w:t xml:space="preserve">sachariden (mono- en polysachariden) glucose, fructose, sacharose, lactose, zetmeel, glycogeen, cellulose</w:t>
            </w:r>
          </w:p>
          <w:p>
            <w:pPr>
              <w:pStyle w:val="ListParagraph"/>
              <w:numPr>
                <w:ilvl w:val="0"/>
                <w:numId w:val="18"/>
              </w:numPr>
            </w:pPr>
            <w:r>
              <w:rPr/>
              <w:t xml:space="preserve">lipiden (triglyceriden) verzadigde en onverzadigde vetzuren, fosfolipiden</w:t>
            </w:r>
          </w:p>
          <w:p>
            <w:pPr>
              <w:pStyle w:val="ListParagraph"/>
              <w:numPr>
                <w:ilvl w:val="0"/>
                <w:numId w:val="18"/>
              </w:numPr>
            </w:pPr>
            <w:r>
              <w:rPr/>
              <w:t xml:space="preserve">proteïnen</w:t>
            </w:r>
          </w:p>
          <w:p>
            <w:pPr>
              <w:pStyle w:val="ListParagraph"/>
              <w:numPr>
                <w:ilvl w:val="0"/>
                <w:numId w:val="18"/>
              </w:numPr>
            </w:pPr>
            <w:r>
              <w:rPr/>
              <w:t xml:space="preserve">aminozuren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stofklasse van een biomolecule aan de hand van de molecuulformule of structuurformule herkennen en toelichten</w:t>
              <w:br/>
              <w:t xml:space="preserve"/>
              <w:br/>
              <w:t xml:space="preserve">biomoleculen benoemen met hun dagdagelijkse benamingen (suikers, vetten, vetzuren en eiwitten)</w:t>
              <w:br/>
              <w:t xml:space="preserve"/>
              <w:br/>
              <w:t xml:space="preserve">wetenschappelijke voorstellingen van de hiernaast gegeven biomoleculen herkennen</w:t>
              <w:br/>
              <w:t xml:space="preserve"/>
              <w:br/>
              <w:t xml:space="preserve">de functie van de hiernaast opgelijste biomoleculen toelichten aan de hand van voorbeelden (energievoorziening, opbouw cel, aanmaak hormonen, enzymen…)</w:t>
              <w:br/>
              <w:t xml:space="preserve"/>
              <w:br/>
              <w:t xml:space="preserve">typische voedingsmiddelen benoemen die rijk zijn aan sachariden, lipiden, verzadigde en onverzadigde vetzuren en proteïnen</w:t>
              <w:br/>
              <w:t xml:space="preserve"/>
              <w:br/>
              <w:t xml:space="preserve">verband leggen tussen voedingsmiddelen en gezondheidsaspecten</w:t>
              <w:br/>
              <w:t xml:space="preserve"/>
              <w:br/>
              <w:t xml:space="preserve">het verband leggen tussen de moleculaire structuur van lipiden en hun oplosbaarheid in polaire en apolaire oplosmiddelen (bol-en staartmodel)</w:t>
              <w:br/>
              <w:t xml:space="preserve"/>
              <w:br/>
              <w:t xml:space="preserve">de invloed van zuurtegraad (pH) en temperatuur op de eiwitstructuur en –functie toelichten</w:t>
              <w:br/>
              <w:t xml:space="preserve"/>
              <w:br/>
              <w:t xml:space="preserve">het gevaar van hoge koorts in verband brengen met de enzymwerking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Polymeren: kunststoffen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natuurlijke en synthetische polymeren van elkaar onderscheiden en illustreren</w:t>
              <w:br/>
              <w:t xml:space="preserve"/>
              <w:br/>
              <w:t xml:space="preserve">aan de hand van een wetenschappelijke voorstelling het polymeer en overeenkomstig monomeer van PE, PET, PVC en PS herkennen</w:t>
              <w:br/>
              <w:t xml:space="preserve"/>
              <w:br/>
              <w:t xml:space="preserve">de begrippen thermoplast, thermoharder en elastomeer toelichten en van elkaar onderscheiden in voorbeelden</w:t>
              <w:br/>
              <w:t xml:space="preserve"/>
              <w:br/>
              <w:t xml:space="preserve">het gebruik van PE, PET, PVC, PS, PUR en PIR illustreren</w:t>
              <w:br/>
              <w:t xml:space="preserve"/>
              <w:br/>
              <w:t xml:space="preserve">de begrippen biologisch afbreekbaar, composteerbaar en thuis composteerbaar toelichten en illustreren</w:t>
              <w:br/>
              <w:t xml:space="preserve"/>
              <w:br/>
              <w:t xml:space="preserve">de duurzaamheid van bio-afbreekbare plastic beargumenteren</w:t>
              <w:br/>
              <w:t xml:space="preserve"/>
              <w:br/>
              <w:t xml:space="preserve">het ontstaan en de gevaren van microplastics toelichten</w:t>
              <w:br/>
              <w:t xml:space="preserve"/>
              <w:br/>
              <w:t xml:space="preserve">het gebruik van microplastics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Organische stoffen,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9"/>
              </w:numPr>
            </w:pPr>
            <w:r>
              <w:rPr/>
              <w:t xml:space="preserve">impact van polymeren op de welvaart (nieuwe bouwmaterialen, textiel, knieprothesen, composieten, …)</w:t>
            </w:r>
          </w:p>
          <w:p>
            <w:pPr>
              <w:pStyle w:val="ListParagraph"/>
              <w:numPr>
                <w:ilvl w:val="0"/>
                <w:numId w:val="19"/>
              </w:numPr>
            </w:pPr>
            <w:r>
              <w:rPr/>
              <w:t xml:space="preserve">ecologische gevolgen van het kunststofgebruik (plasticsoep, afvalberg, …)</w:t>
            </w:r>
          </w:p>
          <w:p>
            <w:pPr>
              <w:pStyle w:val="ListParagraph"/>
              <w:numPr>
                <w:ilvl w:val="0"/>
                <w:numId w:val="19"/>
              </w:numPr>
            </w:pPr>
            <w:r>
              <w:rPr/>
              <w:t xml:space="preserve">de voor- en nadelen van biobrandstoffen in de strijd tegen de klimaatverandering</w:t>
            </w:r>
          </w:p>
          <w:p>
            <w:pPr>
              <w:pStyle w:val="ListParagraph"/>
              <w:numPr>
                <w:ilvl w:val="0"/>
                <w:numId w:val="19"/>
              </w:numPr>
            </w:pPr>
            <w:r>
              <w:rPr/>
              <w:t xml:space="preserve">bewust omgaan met stoffen en bewust consumeren voor eigen en algemeen welzijn (gezonde voeding, glyfosaat, schilderziekte-OPS-, verbruik aardolieproducten, …)</w:t>
            </w:r>
          </w:p>
          <w:p>
            <w:pPr>
              <w:pStyle w:val="ListParagraph"/>
              <w:numPr>
                <w:ilvl w:val="0"/>
                <w:numId w:val="19"/>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Chemische reacties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 in de koolstofchemie:</w:t>
            </w:r>
          </w:p>
          <w:p>
            <w:pPr>
              <w:pStyle w:val="ListParagraph"/>
              <w:numPr>
                <w:ilvl w:val="0"/>
                <w:numId w:val="20"/>
              </w:numPr>
            </w:pPr>
            <w:r>
              <w:rPr/>
              <w:t xml:space="preserve">hydrolyse</w:t>
            </w:r>
          </w:p>
          <w:p>
            <w:pPr>
              <w:pStyle w:val="ListParagraph"/>
              <w:numPr>
                <w:ilvl w:val="0"/>
                <w:numId w:val="20"/>
              </w:numPr>
            </w:pPr>
            <w:r>
              <w:rPr/>
              <w:t xml:space="preserve">substitutie</w:t>
            </w:r>
          </w:p>
          <w:p>
            <w:pPr>
              <w:pStyle w:val="ListParagraph"/>
              <w:numPr>
                <w:ilvl w:val="0"/>
                <w:numId w:val="20"/>
              </w:numPr>
            </w:pPr>
            <w:r>
              <w:rPr/>
              <w:t xml:space="preserve">additie</w:t>
            </w:r>
          </w:p>
          <w:p>
            <w:pPr>
              <w:pStyle w:val="ListParagraph"/>
              <w:numPr>
                <w:ilvl w:val="0"/>
                <w:numId w:val="20"/>
              </w:numPr>
            </w:pPr>
            <w:r>
              <w:rPr/>
              <w:t xml:space="preserve">eliminatie</w:t>
            </w:r>
          </w:p>
          <w:p>
            <w:pPr>
              <w:pStyle w:val="ListParagraph"/>
              <w:numPr>
                <w:ilvl w:val="0"/>
                <w:numId w:val="20"/>
              </w:numPr>
            </w:pPr>
            <w:r>
              <w:rPr/>
              <w:t xml:space="preserve">(poly)condensatie</w:t>
            </w:r>
          </w:p>
          <w:p>
            <w:pPr>
              <w:pStyle w:val="ListParagraph"/>
              <w:numPr>
                <w:ilvl w:val="0"/>
                <w:numId w:val="20"/>
              </w:numPr>
            </w:pPr>
            <w:r>
              <w:rPr/>
              <w:t xml:space="preserve">polymerisatie</w:t>
            </w:r>
          </w:p>
          <w:p>
            <w:pPr>
              <w:pStyle w:val="ListParagraph"/>
              <w:numPr>
                <w:ilvl w:val="0"/>
                <w:numId w:val="20"/>
              </w:numPr>
            </w:pPr>
            <w:r>
              <w:rPr/>
              <w:t xml:space="preserve">volledige en onvolledige verbranding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schematische voorstellingen het reactietype herkennen en toelichten</w:t>
              <w:br/>
              <w:t xml:space="preserve"/>
              <w:br/>
              <w:t xml:space="preserve">het verband tussen de verbrandingsreactie van fossiele brandstoffen en de klimaatopwarming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Energetische aspecten van een chemische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grafisch energieverloop van een endo-en exo-energetische chemische reactie toelichten</w:t>
              <w:br/>
              <w:t xml:space="preserve"/>
              <w:br/>
              <w:t xml:space="preserve">de begrippen activeringsenergie (Ea), reactie-energie (ΔU) en inwendige energie (U) toelichten en op een grafisch energieverloop herkennen</w:t>
              <w:br/>
              <w:t xml:space="preserve"/>
              <w:br/>
              <w:t xml:space="preserve">de begrippen katalysator en biokatalysator toelichten aan de hand van een voorbeeld</w:t>
              <w:br/>
              <w:t xml:space="preserve"/>
              <w:br/>
              <w:t xml:space="preserve">het sleutel-slot principe herkennen en toelichten</w:t>
              <w:br/>
              <w:t xml:space="preserve"/>
              <w:br/>
              <w:t xml:space="preserve">het grafisch energieverloop van een endo- of exo-energetische reactie met en zonder katalysator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21"/>
              </w:numPr>
            </w:pPr>
            <w:r>
              <w:rPr/>
              <w:t xml:space="preserve">erfelijke stofwisselingsziekten (fenylketonurie, galactosemie, … ) als gevolg van verstoorde chemische processen in het lichaam (enzymdefect)</w:t>
            </w:r>
          </w:p>
          <w:p>
            <w:pPr>
              <w:pStyle w:val="ListParagraph"/>
              <w:numPr>
                <w:ilvl w:val="0"/>
                <w:numId w:val="21"/>
              </w:numPr>
            </w:pPr>
            <w:r>
              <w:rPr/>
              <w:t xml:space="preserve">de impact van wetenschappelijke kennis rond chemische reacties in het 'cradle to cradle’ (C2C) concept, recyclageprocessen, …</w:t>
            </w:r>
          </w:p>
          <w:p>
            <w:pPr>
              <w:pStyle w:val="ListParagraph"/>
              <w:numPr>
                <w:ilvl w:val="0"/>
                <w:numId w:val="21"/>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examen 3TSO .pdf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NATUURWETENSCHAPPEN 3TSO is een digitaal examen.</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zeer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balpen</w:t>
      </w:r>
    </w:p>
    <w:p>
      <w:pPr>
        <w:jc w:val="both"/>
      </w:pPr>
      <w:r>
        <w:t xml:space="preserve"/>
      </w:r>
    </w:p>
    <w:p>
      <w:pPr>
        <w:jc w:val="both"/>
      </w:pPr>
      <w:r>
        <w:t xml:space="preserve">Een grafisch rekentoestel of gewoon rekentoestel is niet toegelaten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eenvoudige rekenmachine beschikbaar op de computer</w:t>
      </w:r>
    </w:p>
    <w:p>
      <w:pPr>
        <w:jc w:val="both"/>
      </w:pPr>
      <w:r>
        <w:t xml:space="preserve">digitale versie van 2 bijlagen :  periodiek systeem en determinatietabel organische stofklassen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 vragen als vragen waar je met de leerstof aan de slag moet. Zo kan je worden gevraagd om vraagstukken op te lossen, de leerstof toe te passen op nieuwe contexten, wetenschappelijke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juist-onjuist vragen, meerkeuzevragen, etc.</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FYSICA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BIOgenie-T 5/6 - Voortplanting</w:t>
              <w:br/>
              <w:t xml:space="preserve"/>
              <w:br/>
              <w:t xml:space="preserve">BIOgenie-T 5/6 - Erfelijkheid en evolutie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T: +32 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Eurek(h)a! 3A - 3B- 4A - 4B (webshops)</w:t>
              <w:br/>
              <w:t xml:space="preserve"/>
              <w:br/>
              <w:t xml:space="preserve">WEZO (meerdere kleine handboeken)</w:t>
              <w:br/>
              <w:t xml:space="preserve"/>
              <w:br/>
              <w:t xml:space="preserve">Naturalis 5 - 6</w:t>
              <w:br/>
              <w:t xml:space="preserve"/>
              <w:br/>
              <w:t xml:space="preserve">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0800.99084</w:t>
              <w:br/>
              <w:t xml:space="preserve"/>
              <w:br/>
              <w:t xml:space="preserve">klantendienst@plantyn.beµ</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Elementair 5.4 :  Deel 1 en Deel 2</w:t>
              <w:br/>
              <w:t xml:space="preserve"/>
              <w:br/>
              <w:t xml:space="preserve">Elementair 6.4</w:t>
              <w:br/>
              <w:t xml:space="preserve"/>
              <w:br/>
              <w:t xml:space="preserve">Synergie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T: +32 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 Xpert 6.1 (1 hoofdstuk)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informatie vinden over allerlei thema’s in de vorm van powerpoint presentaties, videoclips,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