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toegepaste biologie (FTA) 3 tso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2022 tot en met 31 december  2022</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https://www.onderwijsdoelen.be/</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Dit is een vakfiche voor de volgende studierichting: 3de graad TSO Farmaceutisch Technisch Assistent.</w:t>
        <w:br/>
        <w:t xml:space="preserve"/>
        <w:br/>
        <w:t xml:space="preserve">Het diploma Farmaceutisch Technisch Assistent is een gereglementeerd beroep. Dit betekent dat de minimale leerstof decretaal beschreven staat, net zoals het wettelijk verplichte aantal stage-uren. Het examenprogramma van de Examencommissie secundair onderwijs volgt deze regelgeving. Om het diploma van Farmaceutisch Technisch Assistent te behalen, moet je daarom zowel bij de Examencommissie secundair onderwijs (EC) als bij een centrum voor volwassenenonderwijs (CVO) een aantal vakken of modules afleggen. Je kan hierbij kiezen welke vakken je via zelfstudie aflegt bij de EC en voor welke modules je lessen volgt in een CVO. De stage kan je echter alleen via een CVO lopen.</w:t>
      </w:r>
    </w:p>
    <w:p>
      <w:r>
        <w:rPr/>
        <w:t xml:space="preserve"/>
      </w:r>
      <w:r>
        <w:rPr>
          <w:color w:val="00B050"/>
        </w:rPr>
        <w:t/>
      </w:r>
    </w:p>
    <w:p w14:paraId="70391787" w14:textId="3DB223A8" w:rsidR="00047953" w:rsidRDefault="001D02B3" w:rsidP="0082741A">
      <w:r>
        <w:rPr>
          <w:color w:val="00B050"/>
        </w:rPr>
        <w:t/>
      </w:r>
      <w:r>
        <w:t/>
      </w:r>
      <w:r>
        <w:rPr/>
        <w:t xml:space="preserve">In het overzicht als bijlage bij deze vakfiche kan je bekijken hoe de vakken van de EC zich verhouden ten opzichte van de modules uit het volwassenenonderwijs. Op die manier kan je een volledig programma samenstellen dat inspeelt op jouw noden of verwachtingen. Dankzij dit overzicht weet je ook precies waarvoor je vrijstellingen kan aanvragen bij de EC of een CVO.</w:t>
        <w:br/>
        <w:t xml:space="preserve"/>
        <w:br/>
        <w:t xml:space="preserve">Merk op dat de EC bepaalde vakken niet aanbiedt en dat je die modules (toegepaste analytische chemie theorie en labo, stage galenica en stage FTA) alleen kan volgen via een CVO.</w:t>
        <w:br/>
        <w:t xml:space="preserve"/>
        <w:br/>
        <w:t xml:space="preserve">Het vak tarificatie en wetgeving kan je afleggen bij de EC maar tijdens je eindstage in de apotheek krijg je voor dit vak een praktische opleiding op je stageplaats die integraal deel uitmaakt van de evaluatie van je stage. Je leert er werken met één van de 4 softwareprogramma's die courant gebruikt worden in de apotheek. Tijdens je stage moet je zo aantonen dat je de leerdoelen en de leerinhouden voor het vak tarificatie en wetgeving kan toepassen in de praktijk.</w:t>
        <w:br/>
        <w:t xml:space="preserve"/>
        <w:br/>
        <w:t xml:space="preserve">Het vak farmaceutische technologie in het programma van de EC is een theoretisch examen, er wordt geen praktijk geëvalueerd. Enkel kandidaten die reeds voldoende werkervaring hebben in een apotheek, kunnen dit examen via de EC afleggen. Het CVO zal een vrijstellingsproef organiseren voor het vak galenica enkel voor de kandidaten die geslaagd zijn voor het examen farmaceutische technologie. Volgende afspraken werden gemaakt met het volwassenenonderwijs:</w:t>
        <w:br/>
        <w:t xml:space="preserve"/>
        <w:br/>
        <w:t xml:space="preserve">- Enkel kandidaten die geslaagd zijn voor het examen van het vak farmaceutische technologie kunnen deelnemen aan de vrijstellingsproef voor het vak galenica.</w:t>
        <w:br/>
        <w:t xml:space="preserve"/>
        <w:br/>
        <w:t xml:space="preserve">- Elke kandidaat mag maar één keer deelnemen aan deze vrijstellingsproef. Het is bovendien onmogelijk om te slagen voor deze proef als je onvoldoende werkervaring hebt in een apotheek.</w:t>
        <w:br/>
        <w:t xml:space="preserve"/>
        <w:br/>
        <w:t xml:space="preserve">Je maakt zelf een afspraak met een CVO om deze praktische vrijstellingsproef af te leggen.</w:t>
        <w:br/>
        <w:t xml:space="preserve"/>
        <w:br/>
        <w:t xml:space="preserve">Wie geslaagd is voor het vak farmaceutische technologie én de vrijstellingsproef galenica is geslaagd voor het vak galenica.</w:t>
        <w:br/>
        <w:t xml:space="preserve"/>
        <w:br/>
        <w:t xml:space="preserve">Wie niet geslaagd is voor de vrijstellingsproef galenica moet via een CVO de volledige module galenica volgen. De behaalde resultaten voor het examen farmaceutische technologie vervallen.</w:t>
        <w:br/>
        <w:t xml:space="preserve"/>
        <w:br/>
        <w:t xml:space="preserve">Om toegelaten te worden tot de stage FTA, moet je geslaagd zijn voor alle vakken of modules.</w:t>
        <w:br/>
        <w:t xml:space="preserve"/>
        <w:br/>
        <w:t xml:space="preserve">Je kan kiezen wie je jouw diploma laat uitreiken. Als de EC je diploma moet uitreiken, dan moet je een vrijstellingsdossier opstarten. Op de website van de EC vind je hierover meer uitleg.</w:t>
        <w:br/>
        <w:t xml:space="preserve"/>
        <w:br/>
        <w:t xml:space="preserve">Als een CVO het diploma moet uitreiken, dan moet je via de meldingen op het EC-Platform een overzicht van je resultaten vragen. Dit overzicht heeft het CVO nodig om je vrijstellingsdossier in orde te brengen.</w:t>
        <w:br/>
        <w:t xml:space="preserve"/>
        <w:br/>
        <w:t xml:space="preserve">De modules worden in een CVO in bepaalde periodes van het schooljaar georganiseerd. Neem dus tijdig contact op met een CVO om je in te schrijven.</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WAT IS DE INHOUD VAN HET VAK?</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1 ALGEMENE BIOLOGIE </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2 STELSELS (ANATOMIE / FYSIOLOGIE) </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3 MICROBIOLOGIE EN PARASITOLOGIE</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WAT IS DE INHOUD VAN HET VAK?</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Op de volgende pagina’s vind je de leerinhoud.</w:t>
        <w:br/>
        <w:t xml:space="preserve"/>
        <w:br/>
        <w:t xml:space="preserve">Meestal geven we je bronmateriaal aan de hand waarvan je de leerstof moet toelichten. Het bronmateriaal kan bestaan uit afbeeldingen, schema’s, tabellen, grafieken, tekstfragmenten en kaartmateriaal.</w:t>
        <w:br/>
        <w:t xml:space="preserve"/>
        <w:br/>
        <w:t xml:space="preserve">Lees alles heel grondig door en let daarbij goed op de gebruikte werkwoorden.</w:t>
        <w:br/>
        <w:t xml:space="preserve"/>
        <w:br/>
        <w:t xml:space="preserve">Om je te helpen, geven we in deze tabel een omschrijving van deze werkwoorden.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werkwoord</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betekenis</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beschrijven/ definiëren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kennis in eigen woorden weergeven (waarbij wetenschappelijke terminologie en notatie correct worden toegepast)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benoemen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juiste wetenschappelijke benaming geven voor een begrip, voorwerp, structuur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herkennen / situeren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kennis verbinden aan gegeven bronmateriaal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toelichten / interpreteren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gegeven informatie ( eigen antwoord, afbeelding, tekst,... ) verduidelijken en uitleggen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afleiden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uit bronmateriaal relaties en waarden afleiden om een besluit te formuleren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illustreren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specifiek voorbeeld van een algemeen concept of principe geven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verklaren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verklaring geven (oorzaak en gevolg)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onderscheiden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gelijkenissen en verschillen beschrijven tussen twee of meer begrippen, structuren, ideeën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berekenen (omrekenen)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berekening maken en hierbij correct gebruik maken van wetenschappelijke terminologie, symbolen, SI-eenheden en wetenschappelijke notatie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toepassen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bepaald begrip gebruiken om een vraag te beantwoorden of een vraagstuk op te lossen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verband(en) leggen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verbanden leggen tussen verschillende leerstofonderdelen, ideeën, problemen of situaties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beargumenteren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standpunt formuleren en met wetenschappelijke argumenten onderbouwen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1 ALGEMENE BIOLOGIE </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Celleer</w:t>
              <w:br/>
              <w:t xml:space="preserve"/>
              <w:br/>
              <w:t xml:space="preserve">celkern, endoplasmatisch reticulum en ribosomen, golgi-apparaat, mitochondrium, lysosomen, celmembraan, plastiden, celwand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microscopisch en submicroscopisch beeldmateriaal de hiernaast genoemde celorganellen herkennen en benoemen</w:t>
              <w:br/>
              <w:t xml:space="preserve"/>
              <w:br/>
              <w:t xml:space="preserve">de functie van de opgesomde celorganellen beschrijven</w:t>
              <w:br/>
              <w:t xml:space="preserve"/>
              <w:br/>
              <w:t xml:space="preserve">functionele verbanden tussen de verschillende celorganellen toelichten</w:t>
              <w:br/>
              <w:t xml:space="preserve"/>
              <w:br/>
              <w:t xml:space="preserve">een plantaardige en een dierlijke cel van elkaar onderscheiden</w:t>
              <w:br/>
              <w:t xml:space="preserve"/>
              <w:br/>
              <w:t xml:space="preserve">de bouw van de celkern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DNA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schematische voorstelling van DNA herkennen</w:t>
              <w:br/>
              <w:t xml:space="preserve"/>
              <w:br/>
              <w:t xml:space="preserve">de bouwstenen van een DNA-molecule benoemen</w:t>
              <w:br/>
              <w:t xml:space="preserve"/>
              <w:br/>
              <w:t xml:space="preserve">chromosomen, chromatide en chromatine in de cel situeren en de begrippen toelichten</w:t>
              <w:br/>
              <w:t xml:space="preserve"/>
              <w:br/>
              <w:t xml:space="preserve">DNA-replicatie situeren in de celcyclus en de verschillende fasen toelichten</w:t>
              <w:br/>
              <w:t xml:space="preserve"/>
              <w:br/>
              <w:t xml:space="preserve">het belang van DNA-replicatie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Eiwitsynthese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transcriptie, translatie, mRNA, tRNA en rRNA  aan de hand van beeldmateriaal herkennen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Energieproductie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functie van ATP als energierijke molecule toelichten en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Celdelingen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fasen in de celcyclus herkennen en toelichten</w:t>
              <w:br/>
              <w:t xml:space="preserve"/>
              <w:br/>
              <w:t xml:space="preserve">de mitose en de meiose in de celcyclus situeren en toelichten</w:t>
              <w:br/>
              <w:t xml:space="preserve"/>
              <w:br/>
              <w:t xml:space="preserve">de begrippen diploïd en haploïd toelichten</w:t>
              <w:br/>
              <w:t xml:space="preserve"/>
              <w:br/>
              <w:t xml:space="preserve">het belang van mitose en meiose voor de spermatogenese en de oögenese verklaren</w:t>
              <w:br/>
              <w:t xml:space="preserve"/>
              <w:br/>
              <w:t xml:space="preserve">het verband leggen tussen geslachtelijke voortplanting en het ontstaan van variatie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Voortplantingsstelsel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verband leggen tussen de ontwikkeling van mannelijk en vrouwelijke voortplantingsorganen en de geslachtshormonen oestrogeen, progesteron en testosteron</w:t>
              <w:br/>
              <w:t xml:space="preserve"/>
              <w:br/>
              <w:t xml:space="preserve">onderdelen van de vrouwelijke en mannelijke voortplantingsorganen herkennen en de bouw en functie van de voortplantingsorganen toelichten</w:t>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Hormonale regeling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hormonale regeling van zaadcel- en eicelvorming aan de hand van eenvoudige schema’s en figuren toelichten</w:t>
              <w:br/>
              <w:t xml:space="preserve"/>
              <w:br/>
              <w:t xml:space="preserve">de hormonale regeling van de menstruele cyclus aan de hand van eenvoudige schema’s en figuren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Bevruchting en embryonale ontwikkeling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beeldmateriaal de verschillende fasen van de bevruchting en innesteling herkennen en toelichten</w:t>
              <w:br/>
              <w:t xml:space="preserve"/>
              <w:br/>
              <w:t xml:space="preserve">de invloed van omgevingsfactoren op de ontwikkeling van het embryo en de foetus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Anticonceptie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werking en betrouwbaarheid van hormonale en andere anticonceptiva verklaren en in verband brengen met de hormonale regeling van de menstruatiecyclus.</w:t>
              <w:br/>
              <w:t xml:space="preserve"/>
              <w:br/>
              <w:t xml:space="preserve">anticonceptiva die bescherming bieden tegen geslachtsziekten benoemen</w:t>
              <w:br/>
              <w:t xml:space="preserve"/>
              <w:br/>
              <w:t xml:space="preserve">het principe van sterilisatie zowel bij man als bij vrouw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Erfelijkheid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homozygoot, raszuiver, heterozygoot, allel, gen, locus, dominant, recessief, intermediair, multiple allelen, genotype, fenotype onderscheiden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Monohybride en dihybride kruisingen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eenvoudige kruisingsschema’s en/of stambomen</w:t>
              <w:br/>
              <w:t xml:space="preserve"/>
              <w:br/>
              <w:t xml:space="preserve"/>
            </w:r>
          </w:p>
          <w:p>
            <w:pPr>
              <w:pStyle w:val="ListParagraph"/>
              <w:numPr>
                <w:ilvl w:val="0"/>
                <w:numId w:val="8"/>
              </w:numPr>
            </w:pPr>
            <w:r>
              <w:rPr/>
              <w:t xml:space="preserve">de overerving van kenmerken bij de mens afleiden</w:t>
            </w:r>
          </w:p>
          <w:p>
            <w:pPr>
              <w:pStyle w:val="ListParagraph"/>
              <w:numPr>
                <w:ilvl w:val="0"/>
                <w:numId w:val="8"/>
              </w:numPr>
            </w:pPr>
            <w:r>
              <w:rPr/>
              <w:t xml:space="preserve">de overerving van het geslacht afleiden</w:t>
            </w:r>
          </w:p>
          <w:p>
            <w:pPr>
              <w:pStyle w:val="ListParagraph"/>
              <w:numPr>
                <w:ilvl w:val="0"/>
                <w:numId w:val="8"/>
              </w:numPr>
            </w:pPr>
            <w:r>
              <w:rPr/>
              <w:t xml:space="preserve">de overerving van bloedgroepen en resusfactor afleiden</w:t>
            </w:r>
          </w:p>
          <w:p>
            <w:pPr>
              <w:pStyle w:val="ListParagraph"/>
              <w:numPr>
                <w:ilvl w:val="0"/>
                <w:numId w:val="8"/>
              </w:numPr>
            </w:pPr>
            <w:r>
              <w:rPr/>
              <w:t xml:space="preserve">de overerving van geslachtsgebonden kenmerken afleiden</w:t>
            </w:r>
          </w:p>
          <w:p>
            <w:r>
              <w:rPr/>
              <w:t xml:space="preserve"> </w:t>
              <w:br/>
              <w:t xml:space="preserve"/>
              <w:br/>
              <w:t xml:space="preserve">geslacht en erfelijke afwijkingen uit een karyogram afleiden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Mutaties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voorbeelden verklaren dat variatie tussen organismen ontstaat door een wisselwerking tussen genetisch materiaal (erfelijkheid) en omgevingsinvloeden (mutaties)</w:t>
              <w:br/>
              <w:t xml:space="preserve"/>
              <w:br/>
              <w:t xml:space="preserve">de verschillende soorten mutaties (genoom-, chromosoom-, genmutaties) onderscheiden en toelichten aan de hand van een voorbeeld (syndroom van Down, syndroom van Turner, Klinefeltersyndroom, cri-du-chat-syndroom)</w:t>
              <w:br/>
              <w:t xml:space="preserve"/>
              <w:br/>
              <w:t xml:space="preserve">oorzaken van mutaties opnoemen en met het leefmilieu in verband brengen.</w:t>
              <w:br/>
              <w:t xml:space="preserve"/>
              <w:br/>
              <w:t xml:space="preserve">mutatie en modificatie onderscheiden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Evolutietheorieën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grote stappen in de biologische evolutie van organismen, met inbegrip van de mens, herkennen en toelichten</w:t>
              <w:br/>
              <w:t xml:space="preserve"/>
              <w:br/>
              <w:t xml:space="preserve">natuurlijke selectie als drijfveer van evolutie toelichten</w:t>
              <w:br/>
              <w:t xml:space="preserve"/>
              <w:br/>
              <w:t xml:space="preserve">de principes van de evolutietheorie van Lamarck en de evolutietheorie van Darwin beoordelen.</w:t>
              <w:br/>
              <w:t xml:space="preserve"/>
              <w:br/>
              <w:t xml:space="preserve">wetenschappelijk onderbouwde argumenten voor de biologische evolutie van organismen, met inbegrip van de mens, toelichten</w:t>
              <w:br/>
              <w:t xml:space="preserve"/>
              <w:br/>
              <w:t xml:space="preserve">de moderne evolutietheorie door ontwikkelingen op het gebied van moleculaire genetica toelichten</w:t>
              <w:br/>
              <w:t xml:space="preserve"/>
              <w:br/>
              <w:t xml:space="preserve">soortvorming binnen populaties en het ontstaan van nieuwe soorten door mutaties, natuurlijke selectie, isolatie en genetische drift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Wisselwerking met maatschappij en duurzaamheid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Met de verworven kennis uit bovenstaande leerinhouden, gegeven bronnenmateriaal interpreteren en beargumenteren.</w:t>
              <w:br/>
              <w:t xml:space="preserve">Volgende thema’s kunnen hierbij aan bod komen:</w:t>
            </w:r>
          </w:p>
          <w:p>
            <w:pPr>
              <w:pStyle w:val="ListParagraph"/>
              <w:numPr>
                <w:ilvl w:val="0"/>
                <w:numId w:val="9"/>
              </w:numPr>
            </w:pPr>
            <w:r>
              <w:rPr/>
              <w:t xml:space="preserve">religieuze standpunten en wetenschappelijke onderbouwde argumenten tegenover condoomgebruik, contraceptiva, abortus, ..</w:t>
            </w:r>
          </w:p>
          <w:p>
            <w:pPr>
              <w:pStyle w:val="ListParagraph"/>
              <w:numPr>
                <w:ilvl w:val="0"/>
                <w:numId w:val="9"/>
              </w:numPr>
            </w:pPr>
            <w:r>
              <w:rPr/>
              <w:t xml:space="preserve">de ethische aspecten bij behandeling van onvruchtbaarheid, prenatale diagnostiek, ..</w:t>
            </w:r>
          </w:p>
          <w:p>
            <w:pPr>
              <w:pStyle w:val="ListParagraph"/>
              <w:numPr>
                <w:ilvl w:val="0"/>
                <w:numId w:val="9"/>
              </w:numPr>
            </w:pPr>
            <w:r>
              <w:rPr/>
              <w:t xml:space="preserve">de wijziging van biodiversiteit onder invloed van de klimaatverandering</w:t>
            </w:r>
          </w:p>
          <w:p>
            <w:pPr>
              <w:pStyle w:val="ListParagraph"/>
              <w:numPr>
                <w:ilvl w:val="0"/>
                <w:numId w:val="9"/>
              </w:numPr>
            </w:pPr>
            <w:r>
              <w:rPr/>
              <w:t xml:space="preserve">de invloed van anabolica, hormonen in voeding, .. op de hormonenhuishouding en de gevolgen hiervan </w:t>
            </w:r>
          </w:p>
          <w:p>
            <w:pPr>
              <w:pStyle w:val="ListParagraph"/>
              <w:numPr>
                <w:ilvl w:val="0"/>
                <w:numId w:val="9"/>
              </w:numPr>
            </w:pPr>
            <w:r>
              <w:rPr/>
              <w:t xml:space="preserve">de impact van wetenschappelijke kennis en ontwikkeling op de verdraagzaamheid tegenover seksuele geaardheid, lichamelijke diversiteit,..</w:t>
            </w:r>
          </w:p>
          <w:p>
            <w:pPr>
              <w:pStyle w:val="ListParagraph"/>
              <w:numPr>
                <w:ilvl w:val="0"/>
                <w:numId w:val="9"/>
              </w:numPr>
            </w:pPr>
            <w:r>
              <w:rPr/>
              <w:t xml:space="preserv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2 STELSELS (ANATOMIE / FYSIOLOGIE) </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2.1 SPIJSVERTERINGSSTELSEL</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Bouw en werking van het spijsverteringsstelsel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delen van het spijsverteringsstelsel kunnen herkennen en hun functie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Spijsvertering: algemene functie, eigenschappen van enzymen, soorten enzymen, vertering van koolhydraten, eiwitten en vetten, lever en gal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algemene functie van vertering toelichten</w:t>
              <w:br/>
              <w:t xml:space="preserve"/>
              <w:br/>
              <w:t xml:space="preserve">de functie en eigenschappen van enzymen toelichten</w:t>
              <w:br/>
              <w:t xml:space="preserve"/>
              <w:br/>
              <w:t xml:space="preserve">de secretieproducten van de maag, pancreas en dunne darm benoemen en hun functies toelichten</w:t>
              <w:br/>
              <w:t xml:space="preserve"/>
              <w:br/>
              <w:t xml:space="preserve">de vertering van eiwitten, koolhydraten en vetten herkennen en toelichten aan de hand van eenvoudige schema’s</w:t>
              <w:br/>
              <w:t xml:space="preserve"/>
              <w:br/>
              <w:t xml:space="preserve">het belang en de functie van de lever voor de spijsvertering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Absorptie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absorptie van water en voedingsstoffen situeren in het lichaam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Ziektebeelden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stoma, maagzweer, darmkanker en hepatitis toelichten (oorzaken, symptomen, bestrijding)</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2.2 TRANSPORT</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Samenstelling van het bloed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beeldmateriaal de componenten van het bloed herkennen en hun functie toelichten</w:t>
              <w:br/>
              <w:t xml:space="preserve"/>
              <w:br/>
              <w:t xml:space="preserve">de samenstelling van het bloedplasma toelichten</w:t>
              <w:br/>
              <w:t xml:space="preserve"/>
              <w:br/>
              <w:t xml:space="preserve">plasma en serum onderscheiden</w:t>
              <w:br/>
              <w:t xml:space="preserve"/>
              <w:br/>
              <w:t xml:space="preserve">het begrip hematocrietwaarde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hart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beeldmateriaal de bouw en de werking van het hart kunnen toelichten</w:t>
              <w:br/>
              <w:t xml:space="preserve"/>
              <w:br/>
              <w:t xml:space="preserve">de begrippen sinusknoop, AV knoop en bundel van Hiss situeren en toelichten</w:t>
              <w:br/>
              <w:t xml:space="preserve"/>
              <w:br/>
              <w:t xml:space="preserve">de verschillende delen van het hart herkennen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Bloedsomloop</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ader, slagader en haarvaten onderscheiden en toelichten</w:t>
              <w:br/>
              <w:t xml:space="preserve"/>
              <w:br/>
              <w:t xml:space="preserve">aan de hand van beeldmateriaal de bloedsomloop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Bloeddruk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systole en diastole onderscheiden en toelichten</w:t>
              <w:br/>
              <w:t xml:space="preserve"/>
              <w:br/>
              <w:t xml:space="preserve">de normale bloeddrukwaarde beschrijven</w:t>
              <w:br/>
              <w:t xml:space="preserve"/>
              <w:br/>
              <w:t xml:space="preserve">de factoren die de bloeddruk beïnvloeden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Immuniteit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humorale immuniteit met B- cellen, cellulaire immuniteit met T-cellen aan de hand van beeldmateriaal herkennen en de werking toelichten</w:t>
              <w:br/>
              <w:t xml:space="preserve"/>
              <w:br/>
              <w:t xml:space="preserve">de thymus, milt, lymfeknopen en lymfe herkennen en toelichten</w:t>
              <w:br/>
              <w:t xml:space="preserve"/>
              <w:br/>
              <w:t xml:space="preserve">natuurlijke en kunstmatige immuniteit onderscheiden</w:t>
              <w:br/>
              <w:t xml:space="preserve"/>
              <w:br/>
              <w:t xml:space="preserve">het begrip allergie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Ziektebeelden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hypertensie en hypotensie, hartinsufficiëntie, angina pectoris, anemie, trombose, leukemie en hartinfarct toelichten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2.3 ZENUWSTELSEL EN ENDOCRIEN STELSEL</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Indeling van het zenuwstelsel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animaal zenuwstelsel met centraal en perifeer, autonoom zenuwstelsel, ortho- en parasympathisch zenuwstelsel, sensoriële en motorische neuronen onderscheiden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Functionele bouw van het centraal zenuwstelsel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beeldmateriaal hersen- en ruggenmergonderdelen herkennen en hun functie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Functionele bouw van zenuwweefsel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beeldmateriaal de delen van een neuron herkennen en hun functie toelichten</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Ontstaan en geleiding van een zenuwimpuls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mechanisme van impulsgeleiding met elektrische verschijnselen (ionkanalen)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Impulsoverdracht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synaps, neurotransmitter, ionenkanalen , synaptische spleet, receptoren, exocytose en endocytose, met en zonder myeline, cellen van Ranvier onderscheiden en toelichten</w:t>
              <w:br/>
              <w:t xml:space="preserve"/>
              <w:br/>
              <w:t xml:space="preserve">chemische impulsoverdracht ter hoogte van de synaptische spleet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Coördinerende functie van het zenuwstelsel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coördinerende functie van het animaal zenuwstelsel bij reflexen, bewuste gewaarwordingen en gewilde bewegingen herkennen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Ligging en functies van endocriene klieren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beeldmateriaal de belangrijkste hormonale klieren herkennen</w:t>
              <w:br/>
              <w:t xml:space="preserve"/>
              <w:br/>
              <w:t xml:space="preserve">verband leggen tussen de functie van de klier en de vrijgekomen hormonen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Coördinerende functie van hormonen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principe van terugkoppeling (feedbackmechanisme)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Ziektebeelden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Parkinson, Alzheimer, MS, hersenvliesontsteking en epilepsie toelichten</w:t>
              <w:br/>
              <w:t xml:space="preserve"/>
              <w:br/>
              <w:t xml:space="preserve">diabetes, hyperthyroïdie toelichten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2.4 ADEMHALINGSSTELSEL</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Bouw en werking van het ademhalingsstelsel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beeldmateriaal de delen van het ademhalingsstelsel herkennen en hun functies toelichten</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Middenrif- en borstademhaling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middenrif- en borstademhaling onderscheiden en het principe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Longvolume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spirometer, ademvolume en vitale capaciteit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Ziektebeelden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astma, mucoviscidose, hyperventilatie en bronchitis toelichten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2.5 URINESTELSEL</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Macroscopische bouw en werking van het urinestelsel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beeldmateriaal de delen van het urinestelsel herkennen en hun functie toelichten</w:t>
              <w:br/>
              <w:t xml:space="preserve"/>
              <w:br/>
              <w:t xml:space="preserve">aan de hand van beeldmateriaal de delen van een nier herkennen en hun functie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Microscopische bouw en werking van het urinestelsel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beeldmateriaal de bouw van een nefron herkennen en de werking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Ziektebeelden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incontinentie, chronische nierinsufficiëntie kunnen toelichten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3 MICROBIOLOGIE EN PARASITOLOGIE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Bacteriën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bouw en de voortplanting van bacteriën herkennen en toelichten.</w:t>
              <w:br/>
              <w:t xml:space="preserve"/>
              <w:br/>
              <w:t xml:space="preserve">de begrippen: besmetting, incubatietijd, pathogeen vermogen, virulentie, plasmide, aëroob/anaëroob, gram+/- onderscheiden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Indeling van bacteriën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indeling naar vorm en voedingswijze (metabolisme) toelichten</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Medisch belangrijke bacteriën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overdracht en het ziektebeeld kennen van:</w:t>
              <w:br/>
              <w:t xml:space="preserve"/>
              <w:br/>
              <w:t xml:space="preserve"/>
            </w:r>
          </w:p>
          <w:p>
            <w:pPr>
              <w:pStyle w:val="ListParagraph"/>
              <w:numPr>
                <w:ilvl w:val="0"/>
                <w:numId w:val="10"/>
              </w:numPr>
            </w:pPr>
            <w:r>
              <w:rPr/>
              <w:t xml:space="preserve">bacteriën die via seksueel contact worden overgedragen: Clamydia en Syfilis</w:t>
            </w:r>
          </w:p>
          <w:p>
            <w:pPr>
              <w:pStyle w:val="ListParagraph"/>
              <w:numPr>
                <w:ilvl w:val="0"/>
                <w:numId w:val="10"/>
              </w:numPr>
            </w:pPr>
            <w:r>
              <w:rPr/>
              <w:t xml:space="preserve">bacteriën die verbonden zijn aan darmflora: Salmonella en Helicobacter pylori.</w:t>
            </w:r>
          </w:p>
          <w:p>
            <w:pPr>
              <w:pStyle w:val="ListParagraph"/>
              <w:numPr>
                <w:ilvl w:val="0"/>
                <w:numId w:val="10"/>
              </w:numPr>
            </w:pPr>
            <w:r>
              <w:rPr/>
              <w:t xml:space="preserve">bacteriën die verbonden zijn aan de luchtwegen: Legionella en longontsteking.</w:t>
              <w:br/>
              <w:t xml:space="preserve"> </w:t>
            </w:r>
          </w:p>
          <w:p>
            <w:r>
              <w:rPr/>
              <w:t xml:space="preserve">de problemen in verband met multiresistente bacteriën( MRSA)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Parasieten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ecto/endoparasiet, toxine, cysten, gastheer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Fungi</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symptomen van voetschimmel herkennen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Eukaryotische eencelligen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overdracht en het ziektebeeld van malaria (Plasmodium) en slaapziekte (Trypanosoma) herkennen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Wormen bij de mens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overdracht en het ziektebeeld van aarsmade, lintworm, spoelworm herkennen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Insecten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overdracht en het ziektebeeld van luizen en teken (+ verband ziekte van Lyme) herkennen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Virussen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replicatie van virussen toelichten</w:t>
              <w:br/>
              <w:t xml:space="preserve"/>
              <w:br/>
              <w:t xml:space="preserve">de begrippen virus , retrovirus, bacteriofaag, interferon en antigeen onderscheiden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Medische virologie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overdracht en het ziektebeeld van HIV, influenza, mazelen en windpokken herkennen en toelichten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Toegepaste biologie (FTA) 3tso EC vs CVO.pdf</w:t>
      </w:r>
      <w:r w:rsidRPr="003E4776">
        <w:t/>
      </w:r>
    </w:p>
    <w:p w14:paraId="499D1B0A" w14:textId="79267327" w:rsidR="0076163F" w:rsidRDefault="0076163F" w:rsidP="0076163F">
      <w:r w:rsidRPr="003E4776">
        <w:t/>
      </w:r>
      <w:r>
        <w:t>Algemene boekenlijst FTA.pdf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TOEGEPASTE BIOLOGIE 3TSO_FTA is een digitaal examen. </w:t>
      </w:r>
    </w:p>
    <w:p>
      <w:pPr>
        <w:jc w:val="both"/>
      </w:pPr>
      <w:r>
        <w:t xml:space="preserve"/>
      </w:r>
    </w:p>
    <w:p>
      <w:pPr>
        <w:jc w:val="both"/>
      </w:pPr>
      <w:r>
        <w:t xml:space="preserve">Na aanmelding op het secretariaat of aan de balie ga je naar het aan jou toegewezen lokaal.  Daar krijg je verdere instructies over het verloop van het examen.</w:t>
      </w:r>
    </w:p>
    <w:p>
      <w:pPr>
        <w:jc w:val="both"/>
      </w:pPr>
      <w:r>
        <w:t xml:space="preserve"/>
      </w:r>
    </w:p>
    <w:p>
      <w:pPr>
        <w:jc w:val="both"/>
      </w:pPr>
      <w:r>
        <w:t xml:space="preserve">Enkele tips voor het afleggen van je examens:</w:t>
      </w:r>
    </w:p>
    <w:p>
      <w:pPr>
        <w:jc w:val="both"/>
      </w:pPr>
      <w:r>
        <w:t xml:space="preserve">- lees de vragen aandachtig</w:t>
      </w:r>
    </w:p>
    <w:p>
      <w:pPr>
        <w:jc w:val="both"/>
      </w:pPr>
      <w:r>
        <w:t xml:space="preserve">- voor open vragen formuleer je een duidelijk en ordelijk antwoord</w:t>
      </w:r>
    </w:p>
    <w:p>
      <w:pPr>
        <w:jc w:val="both"/>
      </w:pPr>
      <w:r>
        <w:t xml:space="preserve">- als je een vraag niet meteen kan beantwoorden, ga dan door met de volgende vraag</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identiteitskaart</w:t>
      </w:r>
    </w:p>
    <w:p>
      <w:pPr>
        <w:jc w:val="both"/>
      </w:pPr>
      <w:r>
        <w:t xml:space="preserve">blauwe of zwarte balpen</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w:t>
      </w:r>
    </w:p>
    <w:p>
      <w:pPr>
        <w:jc w:val="both"/>
      </w:pPr>
      <w:r>
        <w:t xml:space="preserve">een eenvoudig rekenmachine beschikbaar op de computer</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examen omvat zowel zuivere theorievragen als vragen waar je met de leerstof aan de slag moet. Zo kan je worden gevraagd om vraagstukken op te lossen, de leerstof toe te passen op nieuwe contexten, biologische informatie te interpreteren, experimentele opstellingen te evalueren en de verschillende fasen van de wetenschappelijke methode toe te passen op inhouden opgenomen in deze vakfiche.</w:t>
      </w:r>
    </w:p>
    <w:p>
      <w:pPr>
        <w:jc w:val="both"/>
      </w:pPr>
      <w:r>
        <w:t xml:space="preserve"/>
      </w:r>
    </w:p>
    <w:p>
      <w:pPr>
        <w:jc w:val="both"/>
      </w:pPr>
      <w:r>
        <w:t xml:space="preserve">Het examen maakt gebruik van verschillende informatiedragers (afbeeldingen, schematische voorstellingen van onderzoeksopstellingen, grafieken, tabellen, artikels, etc) en bevat verschillende vraagtypes: (half)open en gesloten vragen, sorteervragen, sleepvragen, meerkeuzevragen, etc.</w:t>
      </w:r>
    </w:p>
    <w:p>
      <w:pPr>
        <w:jc w:val="both"/>
      </w:pPr>
      <w:r>
        <w:t xml:space="preserve"/>
      </w:r>
    </w:p>
    <w:p>
      <w:pPr>
        <w:jc w:val="both"/>
      </w:pPr>
      <w:r>
        <w:t xml:space="preserve">Op: http://examencommissiesecundaironderwijs.be/examens vind je uitleg over onze digitale examens en heel wat voorbeeldvragen.</w:t>
      </w:r>
    </w:p>
    <w:p>
      <w:pPr>
        <w:jc w:val="both"/>
      </w:pPr>
      <w:r>
        <w:t xml:space="preserve"/>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w:t>
      </w:r>
    </w:p>
    <w:p>
      <w:pPr>
        <w:jc w:val="both"/>
      </w:pPr>
      <w:r>
        <w:t xml:space="preserve">- moet je het juiste antwoord aanduiden om punten te scoren</w:t>
      </w:r>
    </w:p>
    <w:p>
      <w:pPr>
        <w:jc w:val="both"/>
      </w:pPr>
      <w:r>
        <w:t xml:space="preserve">- naargelang het vraagtype kan je voor een gedeeltelijk juist antwoord soms ook punten scoren</w:t>
      </w:r>
    </w:p>
    <w:p>
      <w:pPr>
        <w:jc w:val="both"/>
      </w:pPr>
      <w:r>
        <w:t xml:space="preserve">- bij meerkeuzevragen is er geen giscorrectie</w:t>
      </w:r>
    </w:p>
    <w:p>
      <w:pPr>
        <w:jc w:val="both"/>
      </w:pPr>
      <w:r>
        <w:t xml:space="preserve"/>
      </w:r>
    </w:p>
    <w:p>
      <w:pPr>
        <w:jc w:val="both"/>
      </w:pPr>
      <w:r>
        <w:t xml:space="preserve">Voor open vragen bekijken de correctoren of je antwoord:</w:t>
      </w:r>
    </w:p>
    <w:p>
      <w:pPr>
        <w:jc w:val="both"/>
      </w:pPr>
      <w:r>
        <w:t xml:space="preserve">- de juiste wetenschappelijke begrippen en symbolen bevat</w:t>
      </w:r>
    </w:p>
    <w:p>
      <w:pPr>
        <w:jc w:val="both"/>
      </w:pPr>
      <w:r>
        <w:t xml:space="preserve">- ondubbelzinnig is en de juiste inhoud bevat</w:t>
      </w:r>
    </w:p>
    <w:p>
      <w:pPr>
        <w:jc w:val="both"/>
      </w:pPr>
      <w:r>
        <w:t xml:space="preserve">- duidelijk gestructureerd is</w:t>
      </w:r>
    </w:p>
    <w:p>
      <w:pPr>
        <w:jc w:val="both"/>
      </w:pPr>
      <w:r>
        <w:t xml:space="preserve"/>
      </w:r>
    </w:p>
    <w:p>
      <w:pPr>
        <w:jc w:val="both"/>
      </w:pPr>
      <w:r>
        <w:t xml:space="preserve">Wij houden geen rekening met taalfouten, wel wordt verwacht dat vaktermen correct worden gehanteerd.</w:t>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COMPONENT</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GEWICHT</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 ALGEMENE BIOLOGIE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2 STELSELS (ANATOMIE / FYSIOLOGIE)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3 MICROBIOLOGIE EN PARASITOLOGIE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w:t>
        <w:br/>
        <w:t xml:space="preserve"/>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
        <w:br/>
        <w:t xml:space="preserve">Hieronder staan enkele methodes die vaak gebruikt worden in het secundair onderwijs. Ze bieden je voldoende ondersteuning om de leerstof zelfstandig te verwerken. We verwijzen naar websites of andere uitgaven die je ook kunnen helpen bij je voorbereiding.</w:t>
        <w:br/>
        <w:t xml:space="preserve"/>
        <w:br/>
        <w:t xml:space="preserve">Als bijlage vind je een uitgebreide boekenlijst die courant wordt gebruikt in de richting FTA.</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BIO voor JOU</w:t>
              <w:br/>
              <w:t xml:space="preserve">BIOgenie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T: +32 3 432 95 02</w:t>
              <w:br/>
              <w:t xml:space="preserve">secundair.onderwijs@vanin.be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Website </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Hoe kan deze site je helpen ? Wat vind je hier ?</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www.bioplek.org</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Bioplek bevat informatieve teksten, animaties en figuren over diverse onderwerpen en proeven.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www.biologieweb.nl.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Op deze website vind je informatie over allerlei thema’s in de vorm van presentaties, videoclips en testjes. Je kan er ook terecht voor een lijst met biologische begrippen en informatie over een aantal wetenschappelijke vaardigheden.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www.biologielessen.nl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Op deze website vind je allerlei zaken over het vak biologie. Begrippenlijsten, video’s en een bibliotheek aan krantenartikelen.</w:t>
              <w:br/>
              <w:t xml:space="preserve">Als je aanmeldt kan je ook de leerstof bespreken met leerlingen en leerkrachten op het forum en in de chatroom.</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biologiepagina.nl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Hier vind je oefentoetsen rond allerlei biologische thema’s en onderwerpen.</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