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fysica 2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en kritisch te kunnen functioneren, moet je voldoende inzicht hebben in wetenschappen. Fysica  is immers een wetenschap waar je bijna dagelijks mee wordt geconfronteerd.  Denk maar aan:</w:t>
        <w:br/>
        <w:t xml:space="preserve"/>
        <w:br/>
        <w:t xml:space="preserve">&amp;raquo;       Waarom vergroot een vergrootglas?</w:t>
        <w:br/>
        <w:t xml:space="preserve"/>
        <w:br/>
        <w:t xml:space="preserve">&amp;raquo;       Hoe werkt het remsysteem van een auto?</w:t>
        <w:br/>
        <w:t xml:space="preserve"/>
        <w:br/>
        <w:t xml:space="preserve">&amp;raquo;       Hoe efficiënt is een spaarlamp?...</w:t>
        <w:br/>
        <w:t xml:space="preserve"/>
        <w:br/>
        <w:t xml:space="preserve">Wetenschappelijke kennis heb je bovendien ook nodig om verantwoorde en bewuste keuzes te maken, bijvoorbeeld om veilig en verantwoord om te gaan met (gebruiks)stoffen, geluid en straling.  Zo is het belangrijk om in te zien dat geluidsoverlast niet alleen schadelijk is voor je eigen gezondheid maar ook voor anderen, dat het gebruik van onderhoudsproducten gevaren kunnen inhouden.</w:t>
        <w:br/>
        <w:t xml:space="preserve"/>
        <w:br/>
        <w:t xml:space="preserve">Op het examen gaan we daarom na of je geïnformeerd bent over duurzame ontwikkeling.  Het is immers belangrijk om verder te kunnen kijken dan de leerinhouden en ook een kritische houding aan te nemen ten opzichte van de impact van wetenschap en techniek op de maatschappij en het dagelijkse leven.  Leven wij voldoende verantwoord op ecologisch, ethisch en technisch vlak? Ben je je bewust van de eindigheid van het gebruik van voedsel- en grondstofvoorraden? Besef je dat door het gebruik en recycleren van regenwater er heel wat bespaard kan worden op het waterverbruik? Ben je je bewust van de CO2-problematiek? Begrijp je het belang van de aanleg van ecoducten?  Niet alleen wetenschap en techniek moeten goede oplossingen vinden maar ook jij als individu kan je verantwoordelijkheid nemen om bij te dragen tot een duurzame maatschappij.</w:t>
      </w:r>
    </w:p>
    <w:p>
      <w:r>
        <w:rPr/>
        <w:t xml:space="preserve"/>
      </w:r>
      <w:r>
        <w:rPr>
          <w:color w:val="00B050"/>
        </w:rPr>
        <w:t/>
      </w:r>
    </w:p>
    <w:p w14:paraId="70391787" w14:textId="3DB223A8" w:rsidR="00047953" w:rsidRDefault="001D02B3" w:rsidP="0082741A">
      <w:r>
        <w:rPr>
          <w:color w:val="00B050"/>
        </w:rPr>
        <w:t/>
      </w:r>
      <w:r>
        <w:t/>
      </w:r>
      <w:r>
        <w:rPr/>
        <w:t xml:space="preserve">Voor jezelf is het dus belangrijk dat je tijdens de voorbereiding leert om zelfstandig informatie op te zoeken via elektronische media.  Zoek extra informatie op over wetenschappers of experimenten die in de leerinhouden aan bod komen en probeer deze historisch te situeren.  De bedoeling is dat je met deze informatie creatief en kritisch omgaat. Het is een wetenschappelijke houding om kritische vragen te durven stellen bij de informatie die je aangeboden wordt.  We toetsen jouw wetenschappelijk kennis daarom ook aan de hand van informatie uit media en/of literatuur waarover enkele vragen worden gesteld.</w:t>
        <w:br/>
        <w:t xml:space="preserve"/>
        <w:br/>
        <w:t xml:space="preserve">Bovendien behoort wetenschap en dus ook fysica tot onze culturele ontwikkeling.  Voorbeelden zoals hersenonderzoek met behulp van MRI- of PET-scan, de ecolabels van elektrische toestellen die ons milieubewust maken, zijn deel geworden van ons taalgebruik.  Deze voorbeelden tonen aan dat je wetenschappelijke kennis kan verwerven door te vertrekken van de wereld rondom jou en proefondervindelijk te werk te gaan. Als voorbereiding op het examen zal je daarom een onderzoeksopdracht uitvoeren. Deze opdracht bestaat uit één of meerdere eenvoudige experimenten die je uitvoert met materiaal dat je dagelijks gebruikt.  Bij deze opdrachten worden onderzoekende vragen gesteld waarop je een hypothese of verwachting probeert te formuleren.  Om op deze vragen te antwoorden heb je voorkennis of extra informatie nodig die je moet opzoeken.  Hoe je te werk gaat om de opdracht uit te voeren, wordt telkens uitvoerig beschreven.  De waarnemingen van deze opdracht geef je weer in woorden, een tabel en/of grafiek. Op het examen krijg je een aantal reflectievragen.</w:t>
        <w:br/>
        <w:t xml:space="preserve"/>
        <w:br/>
        <w:t xml:space="preserve">Om de realiteit onderzoekend te benaderen, te begrijpen en te verklaren, moet je wel voldoende vaardigheden beheersen en voldoende wetenschappelijke basiskennis hebben. Dat betekent dat je wetenschappelijke principes en begrippen in het dagelijkse leven kan herkennen, benoemen en actief gebruiken. Op het examen moet je hierover vragen beantwoorden.</w:t>
        <w:br/>
        <w:t xml:space="preserve"/>
        <w:br/>
        <w:t xml:space="preserve">De inhoud van deze vakfiche sluit zo nauw aan bij de eindtermen en cesuurdoelen van de Vlaamse overheid. Deze eindtermen en cesuurdoelen vormen de basis voor onze examens. Zo toetsen we of je de vereiste vaardigheden en competenties voldoende beheerst.</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EENHEDEN, GROOTHEDEN EN MEETRESULTATEN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w:t>
              <w:tab/>
              <w:t>SNELHEID en KRACHT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w:t>
              <w:tab/>
              <w:t>MATERIE en DRUK</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w:t>
              <w:tab/>
              <w:t>ENERGIE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w:t>
              <w:tab/>
              <w:t>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EENHEDEN, GROOTHEDEN EN MEETRESULTATEN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SI-eenheden en grootheden  zoals vermeld in bijlage 1</w:t>
              <w:br/>
              <w:t xml:space="preserve"/>
              <w:br/>
              <w:t xml:space="preserve">voorvoegsels zoals vermeld in bijlage 2</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beschrijven tussen een grootheid en een eenheid</w:t>
              <w:br/>
              <w:t xml:space="preserve"/>
              <w:br/>
              <w:t xml:space="preserve">de SI-eenheden benoemen en de correcte symbolen gebruiken</w:t>
              <w:br/>
              <w:t xml:space="preserve"/>
              <w:br/>
              <w:t xml:space="preserve">afgeleide eenheden omzetten naar SI-eenheden</w:t>
              <w:br/>
              <w:t xml:space="preserve"/>
              <w:br/>
              <w:t xml:space="preserve">voorvoegsels herkennen en benoemen</w:t>
              <w:br/>
              <w:t xml:space="preserve"/>
              <w:br/>
              <w:t xml:space="preserve">voorvoegsels gebruiken bij omzettingen tussen eenheden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definitie van de meter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manier waarop de eenheid 'meter’ vroeger werd gedefinieerd en nu wordt gedefinieerd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beduidende cijfers</w:t>
              <w:br/>
              <w:t xml:space="preserve"/>
              <w:br/>
              <w:t xml:space="preserve">wetenschappelijke notatie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beduidende cijfers toepassen bij de notatie van een meetresultaat of een berekening met meetresultaten</w:t>
              <w:br/>
              <w:t xml:space="preserve"/>
              <w:br/>
              <w:t xml:space="preserve">de wetenschappelijke notatie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SNELHEID en KRACHT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SNELHEID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snelheid</w:t>
              <w:br/>
              <w:t xml:space="preserve"/>
              <w:br/>
              <w:t xml:space="preserve">snelheid als vector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snelheid definiëren</w:t>
              <w:br/>
              <w:t xml:space="preserve"/>
              <w:br/>
              <w:t xml:space="preserve">de kenmerken van snelheid als vector herkennen</w:t>
              <w:br/>
              <w:t xml:space="preserve"/>
              <w:br/>
              <w:t xml:space="preserve">de zin, richting en grootte van de snelheidsvector aangeven in concrete voorbeelden</w:t>
              <w:br/>
              <w:t xml:space="preserve"/>
              <w:br/>
              <w:t xml:space="preserve">km/h en m/s omzetten naar elkaar</w:t>
              <w:br/>
              <w:t xml:space="preserve"/>
              <w:br/>
              <w:t xml:space="preserve">de snelheid berekenen van een eenparige rechtlijnige beweging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grafische voorstelling van snelheid in functie van de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x(t)- en v(t)-grafiek tekenen van een eenparige rechtlijnige beweging</w:t>
              <w:br/>
              <w:t xml:space="preserve"/>
              <w:br/>
              <w:t xml:space="preserve">een x(t)- en v(t)-grafiek van een eenparige rechtlijnige beweging interpreteren</w:t>
              <w:br/>
              <w:t xml:space="preserve"/>
              <w:br/>
              <w:t xml:space="preserve">de afgelegde weg  berekenen aan de hand van een v(t)-grafiek</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KRACHT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kracht</w:t>
              <w:br/>
              <w:t xml:space="preserve"/>
              <w:br/>
              <w:t xml:space="preserve">kracht als vector</w:t>
              <w:br/>
              <w:t xml:space="preserve"/>
              <w:br/>
              <w:t xml:space="preserve">resulterende 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kracht en de effecten van een kracht beschrijven</w:t>
              <w:br/>
              <w:t xml:space="preserve"/>
              <w:br/>
              <w:t xml:space="preserve">krachtwerking door contact onderscheiden van krachtwerking op afstand</w:t>
              <w:br/>
              <w:t xml:space="preserve"/>
              <w:br/>
              <w:t xml:space="preserve">krachtwerking door contact en krachtwerking op afstand illustreren met concrete voorbeelden</w:t>
              <w:br/>
              <w:t xml:space="preserve"/>
              <w:br/>
              <w:t xml:space="preserve">de kenmerken van kracht als vector herkennen en benoemen in concrete voorbeelden</w:t>
              <w:br/>
              <w:t xml:space="preserve"/>
              <w:br/>
              <w:t xml:space="preserve">een kracht voorstellen als een vector door de richting, de zin en de grootte te bepalen</w:t>
              <w:br/>
              <w:t xml:space="preserve"/>
              <w:br/>
              <w:t xml:space="preserve">de grootte berekenen van de resulterende kracht bij krachten volgens dezelfde richting</w:t>
              <w:br/>
              <w:t xml:space="preserve"/>
              <w:br/>
              <w:t xml:space="preserve">de richting, de zin en de grootte van de resulterende krachtvector tekenen bij krachten volgens dezelfde richting en bij krachten met verschillende richtingen</w:t>
              <w:br/>
              <w:t xml:space="preserve"/>
              <w:br/>
              <w:t xml:space="preserve">een kracht langs een helling ontbinden in zijn componenten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eerste en derde wet van Newton</w:t>
              <w:br/>
              <w:t xml:space="preserve"/>
              <w:br/>
              <w:t xml:space="preserve">versnelling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eerste wet van Newton definiëren</w:t>
              <w:br/>
              <w:t xml:space="preserve"/>
              <w:br/>
              <w:t xml:space="preserve">de eerste wet van Newton toepassen om de bewegingstoestand in concrete voorbeelden te verklaren</w:t>
              <w:br/>
              <w:t xml:space="preserve"/>
              <w:br/>
              <w:t xml:space="preserve">het begrip versnelling formuleren</w:t>
              <w:br/>
              <w:t xml:space="preserve"/>
              <w:br/>
              <w:t xml:space="preserve">de versnelling van een voorwerp verklaren aan de hand van de krachten die er op werken</w:t>
              <w:br/>
              <w:t xml:space="preserve"/>
              <w:br/>
              <w:t xml:space="preserve">de derde wet van Newton definiëren</w:t>
              <w:br/>
              <w:t xml:space="preserve"/>
              <w:br/>
              <w:t xml:space="preserve">de derde wet van Newton toepassen in concrete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zwaartekracht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zwaartekracht berekenen op de massa van een voorwerp</w:t>
              <w:br/>
              <w:t xml:space="preserve"/>
              <w:br/>
              <w:t xml:space="preserve">het verschil beschrijven tussen massa en gewicht</w:t>
              <w:br/>
              <w:t xml:space="preserve"/>
              <w:br/>
              <w:t xml:space="preserve">de zwaarteveldsterkte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veerkracht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veerconstante van een veer berekenen</w:t>
              <w:br/>
              <w:t xml:space="preserve"/>
              <w:br/>
              <w:t xml:space="preserve">het verband tussen de uitrekking van een veer en de uitgeoefende kracht grafisch voorstellen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moment van een 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moment berekenen in concrete toepassingen</w:t>
              <w:br/>
              <w:t xml:space="preserve"/>
              <w:br/>
              <w:t xml:space="preserve">de verandering van de rotatiebeweging verklaren van een voorwerp met een vaste rotatie-as</w:t>
              <w:br/>
              <w:t xml:space="preserve"/>
              <w:br/>
              <w:t xml:space="preserve">de werking verklaren van een hefboom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MATERIE en DRUK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3.1	MATERIE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massadichtheid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massadichtheid definiëren</w:t>
              <w:br/>
              <w:t xml:space="preserve"/>
              <w:br/>
              <w:t xml:space="preserve">de massadichtheid berekenen van een vaste stof, vloeistof of gas</w:t>
              <w:br/>
              <w:t xml:space="preserve"/>
              <w:br/>
              <w:t xml:space="preserve">de experimentele bepaling van de massadichtheid beschrijven voor  een vaste stof, een vloeistof en een gas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3.2	DRUK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druk</w:t>
              <w:br/>
              <w:t xml:space="preserve"/>
              <w:br/>
              <w:t xml:space="preserve">eenheden voor druk</w:t>
              <w:br/>
              <w:t xml:space="preserve"/>
              <w:br/>
              <w:t xml:space="preserve">Pa en bar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druk definiëren</w:t>
              <w:br/>
              <w:t xml:space="preserve"/>
              <w:br/>
              <w:t xml:space="preserve">de grootte van de druk berekenen</w:t>
              <w:br/>
              <w:t xml:space="preserve"/>
              <w:br/>
              <w:t xml:space="preserve">de juiste eenheden voor druk gebruiken en omzetten naar elkaar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hydrostatische druk</w:t>
              <w:br/>
              <w:t xml:space="preserve"/>
              <w:br/>
              <w:t xml:space="preserve">beginsel van Pascal</w:t>
              <w:br/>
              <w:t xml:space="preserve"/>
              <w:br/>
              <w:t xml:space="preserve">toepassingen:</w:t>
              <w:br/>
              <w:t xml:space="preserve"/>
              <w:br/>
              <w:t xml:space="preserve">remsysteem van een auto</w:t>
            </w:r>
          </w:p>
          <w:p>
            <w:pPr>
              <w:pStyle w:val="ListParagraph"/>
              <w:numPr>
                <w:ilvl w:val="0"/>
                <w:numId w:val="8"/>
              </w:numPr>
            </w:pPr>
            <w:r>
              <w:rPr/>
              <w:t xml:space="preserve">hydraulische pers</w:t>
            </w:r>
          </w:p>
          <w:p>
            <w:pPr>
              <w:pStyle w:val="ListParagraph"/>
              <w:numPr>
                <w:ilvl w:val="0"/>
                <w:numId w:val="8"/>
              </w:numPr>
            </w:pPr>
            <w:r>
              <w:rPr/>
              <w:t xml:space="preserve">watertoren</w:t>
            </w:r>
          </w:p>
          <w:p>
            <w:pPr>
              <w:pStyle w:val="ListParagraph"/>
              <w:numPr>
                <w:ilvl w:val="0"/>
                <w:numId w:val="8"/>
              </w:numPr>
            </w:pPr>
            <w:r>
              <w:rPr/>
              <w:t xml:space="preserve">manometer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factoren opsommen die de druk op een vloeistof bepalen</w:t>
              <w:br/>
              <w:t xml:space="preserve"/>
              <w:br/>
              <w:t xml:space="preserve">de grootte van de hydrostatische druk berekenen</w:t>
              <w:br/>
              <w:t xml:space="preserve"/>
              <w:br/>
              <w:t xml:space="preserve">de voortplanting van druk in een vloeistof verklaren aan de hand van gegeven toepassingen</w:t>
              <w:br/>
              <w:t xml:space="preserve"/>
              <w:br/>
              <w:t xml:space="preserve">de voortplanting van druk in een vloeistof toepassen bij een systeem van verbonden vaten</w:t>
              <w:br/>
              <w:t xml:space="preserve"/>
              <w:br/>
              <w:t xml:space="preserve">de totale druk berekenen in een vat gevuld met een vloeistof</w:t>
              <w:br/>
              <w:t xml:space="preserve"/>
              <w:br/>
              <w:t xml:space="preserve">de evenwichtsvoorwaarde toepassen voor twee niet-mengbare vloeistoffen in een U-vormige buis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 van Archimedes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gewichtsvermindering verklaren van ondergedompelde voorwerpen in een vloeistof of een gas</w:t>
              <w:br/>
              <w:t xml:space="preserve"/>
              <w:br/>
              <w:t xml:space="preserve">de opwaartse kracht berekenen en tekenen bij ondergedompelde voorwerpen in een vloeistof</w:t>
              <w:br/>
              <w:t xml:space="preserve"/>
              <w:br/>
              <w:t xml:space="preserve">de begrippen drijven, zweven en zinken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overdruk en onderdruk</w:t>
              <w:br/>
              <w:t xml:space="preserve"/>
              <w:br/>
              <w:t xml:space="preserve">atmosferische 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onderdruk, overdruk en atmosferische druk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deeltjesmodel van een gas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druk uitgeoefend door een gas verklaren  aan de hand van  het deeltjesmodel</w:t>
              <w:br/>
              <w:t xml:space="preserve"/>
              <w:br/>
              <w:t xml:space="preserve">de verschillen opsommen  tussen een ideaal gas en een reëel gas</w:t>
              <w:br/>
              <w:t xml:space="preserve"/>
              <w:br/>
              <w:t xml:space="preserve">de toestandsfactoren van een ideaal gas opsommen en verklaren aan de hand van het deeltjesmodel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 tussen de toestandsgrootheden druk, volume en temperatuur van een gas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isochoor, isotherm en isobaar herkennen aan de hand van een grafiek</w:t>
              <w:br/>
              <w:t xml:space="preserve"/>
              <w:br/>
              <w:t xml:space="preserve">de afzonderlijke gaswetten afleiden en verklaren aan de hand van het deeltjesmodel</w:t>
              <w:br/>
              <w:t xml:space="preserve"/>
              <w:br/>
              <w:t xml:space="preserve">de algemene gaswet formuleren en toepassen met gebruik van de universele en specifieke gasconstante</w:t>
              <w:br/>
              <w:t xml:space="preserve"/>
              <w:br/>
              <w:t xml:space="preserve">de algemene gaswet  formuleren en toepassen voor een mengsel van ideale gassen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absolute nulpunt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beschrijven van het absolute nulpunt</w:t>
              <w:br/>
              <w:t xml:space="preserve"/>
              <w:br/>
              <w:t xml:space="preserve">de betekenis beschrijven van de absolute temperatuurschaal</w:t>
              <w:br/>
              <w:t xml:space="preserve"/>
              <w:br/>
              <w:t xml:space="preserve">de absolute temperatuur omzetten naar de 'Celsius-temperatuur' en omgekeerd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ENERGIE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4.1	WARMTE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inwendige energie</w:t>
              <w:br/>
              <w:t xml:space="preserve"/>
              <w:br/>
              <w:t xml:space="preserve">warmtegeleiding, warmtestraling en convectie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tussen temperatuur en warmte beschrijven</w:t>
              <w:br/>
              <w:t xml:space="preserve"/>
              <w:br/>
              <w:t xml:space="preserve">het begrip inwendige energie definiëren</w:t>
              <w:br/>
              <w:t xml:space="preserve"/>
              <w:br/>
              <w:t xml:space="preserve">de inwendige energie beschrijven aan de hand van het deeltjesmodel</w:t>
              <w:br/>
              <w:t xml:space="preserve"/>
              <w:br/>
              <w:t xml:space="preserve">het verschil beschrijven tussen warmtehoeveelheid en temperatuurwijziging</w:t>
              <w:br/>
              <w:t xml:space="preserve"/>
              <w:br/>
              <w:t xml:space="preserve">de warmtehoeveelheid berekenen</w:t>
              <w:br/>
              <w:t xml:space="preserve"/>
              <w:br/>
              <w:t xml:space="preserve">het verschil beschrijven tussen warmtegeleiding, warmtestraling en convectie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warmtecapaciteit en specifieke warmtecapaciteit</w:t>
              <w:br/>
              <w:t xml:space="preserve"/>
              <w:br/>
              <w:t xml:space="preserve">deeltjesmodel van materie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warmtecapaciteit en specifieke warmtecapaciteit definiëren</w:t>
              <w:br/>
              <w:t xml:space="preserve"/>
              <w:br/>
              <w:t xml:space="preserve">het ontstaan van het thermisch evenwicht in een geïsoleerd systeem toelichten met behulp van het deeltjesmodel</w:t>
              <w:br/>
              <w:t xml:space="preserve"/>
              <w:br/>
              <w:t xml:space="preserve">de specifieke warmtecapaciteit berekenen aan de hand van de energie-uitwisseling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latente warmte en merkbare warmte</w:t>
              <w:br/>
              <w:t xml:space="preserve"/>
              <w:br/>
              <w:t xml:space="preserve">warmte-uitwisseling tijdens faseovergangen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beschrijven tussen latente- en merkbare warmte</w:t>
              <w:br/>
              <w:t xml:space="preserve"/>
              <w:br/>
              <w:t xml:space="preserve">de temperatuurwijziging in functie van toegevoerde of afgevoerde energie aflezen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smelten en stollen</w:t>
              <w:br/>
              <w:t xml:space="preserve"/>
              <w:br/>
              <w:t xml:space="preserve">specifieke smeltings- en stollingswarmte</w:t>
              <w:br/>
              <w:t xml:space="preserve"/>
              <w:br/>
              <w:t xml:space="preserve">smeltcurve en stolcurve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smelten en stollen van een stof verklaren aan de hand van het deeltjesmodel</w:t>
              <w:br/>
              <w:t xml:space="preserve"/>
              <w:br/>
              <w:t xml:space="preserve">de specifieke smeltingswarmte (stollingswarmte) definiëren en toepassen</w:t>
              <w:br/>
              <w:t xml:space="preserve"/>
              <w:br/>
              <w:t xml:space="preserve">de verandering van volume en massadichtheid bij smelten en stollen toelichten aan de hand van het deeltjesmodel</w:t>
              <w:br/>
              <w:t xml:space="preserve"/>
              <w:br/>
              <w:t xml:space="preserve">een smeltcurve of stolcurve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verdampen en condenseren</w:t>
              <w:br/>
              <w:t xml:space="preserve"/>
              <w:br/>
              <w:t xml:space="preserve">specifieke verdampings- en condensatiewarmte</w:t>
              <w:br/>
              <w:t xml:space="preserve"/>
              <w:br/>
              <w:t xml:space="preserve">verzadigde en onverzadigde damp</w:t>
              <w:br/>
              <w:t xml:space="preserve"/>
              <w:br/>
              <w:t xml:space="preserve">p(T)-diagram en dampspanningslijn</w:t>
              <w:br/>
              <w:t xml:space="preserve"/>
              <w:br/>
              <w:t xml:space="preserve">kritische temperatuur en kritische 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verdampen en condenseren van een stof verklaren aan de hand van het deeltjesmodel</w:t>
              <w:br/>
              <w:t xml:space="preserve"/>
              <w:br/>
              <w:t xml:space="preserve">de specifieke verdampingswarmte (condensatiewarmte) definiëren en toepassen</w:t>
              <w:br/>
              <w:t xml:space="preserve"/>
              <w:br/>
              <w:t xml:space="preserve">bij verdamping in een afgesloten luchtledige ruimte het ontstaan van een onverzadigde en verzadigde damp verklaren aan de hand van het deeltjesmodel</w:t>
              <w:br/>
              <w:t xml:space="preserve"/>
              <w:br/>
              <w:t xml:space="preserve">de fasetoestand (damp-vloeistof) bij een bepaalde druk en temperatuur toelichten aan de hand van een p(T)-diagram</w:t>
              <w:br/>
              <w:t xml:space="preserve"/>
              <w:br/>
              <w:t xml:space="preserve">het onderscheid tussen een gas en een damp verklaren aan de hand van de begrippen kritische temperatuur en kritische druk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sublimeren</w:t>
              <w:br/>
              <w:t xml:space="preserve"/>
              <w:br/>
              <w:t xml:space="preserve">specifieke sublimatiewarmte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sublimeren van een stof verklaren aan de hand van het deeltjesmodel</w:t>
              <w:br/>
              <w:t xml:space="preserve"/>
              <w:br/>
              <w:t xml:space="preserve">de specifieke sublimatiewarmte definiëren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4.2	ENERGIEOMZETTINGEN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arbeid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arbeid definiëren en toepassen</w:t>
              <w:br/>
              <w:t xml:space="preserve"/>
              <w:br/>
              <w:t xml:space="preserve">de arbeid berekenen voor een constante kracht, evenwijdig met de verplaatsing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vermogen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vermogen definiëren  en toepassen</w:t>
              <w:br/>
              <w:t xml:space="preserve"/>
              <w:br/>
              <w:t xml:space="preserve">het vermogen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w:t>
              <w:br/>
              <w:t xml:space="preserve"/>
              <w:br/>
              <w:t xml:space="preserve"/>
            </w:r>
          </w:p>
          <w:p>
            <w:pPr>
              <w:pStyle w:val="ListParagraph"/>
              <w:numPr>
                <w:ilvl w:val="0"/>
                <w:numId w:val="9"/>
              </w:numPr>
            </w:pPr>
            <w:r>
              <w:rPr/>
              <w:t xml:space="preserve">potentiële energie</w:t>
            </w:r>
          </w:p>
          <w:p>
            <w:pPr>
              <w:pStyle w:val="ListParagraph"/>
              <w:numPr>
                <w:ilvl w:val="0"/>
                <w:numId w:val="9"/>
              </w:numPr>
            </w:pPr>
            <w:r>
              <w:rPr/>
              <w:t xml:space="preserve">kinetische energie</w:t>
            </w:r>
          </w:p>
          <w:p>
            <w:pPr>
              <w:pStyle w:val="ListParagraph"/>
              <w:numPr>
                <w:ilvl w:val="0"/>
                <w:numId w:val="9"/>
              </w:numPr>
            </w:pPr>
            <w:r>
              <w:rPr/>
              <w:t xml:space="preserve">elastische energie</w:t>
            </w:r>
          </w:p>
          <w:p>
            <w:pPr>
              <w:pStyle w:val="ListParagraph"/>
              <w:numPr>
                <w:ilvl w:val="0"/>
                <w:numId w:val="9"/>
              </w:numPr>
            </w:pPr>
            <w:r>
              <w:rPr/>
              <w:t xml:space="preserve">andere energievormen</w:t>
            </w:r>
          </w:p>
          <w:p>
            <w:r>
              <w:rPr/>
              <w:t xml:space="preserve"/>
              <w:br/>
              <w:t xml:space="preserve"/>
              <w:br/>
              <w:t xml:space="preserve"/>
              <w:br/>
              <w:t xml:space="preserve">toepassingen:</w:t>
            </w:r>
          </w:p>
          <w:p>
            <w:pPr>
              <w:pStyle w:val="ListParagraph"/>
              <w:numPr>
                <w:ilvl w:val="0"/>
                <w:numId w:val="10"/>
              </w:numPr>
            </w:pPr>
            <w:r>
              <w:rPr/>
              <w:t xml:space="preserve">waterkrachtcentrale</w:t>
            </w:r>
          </w:p>
          <w:p>
            <w:pPr>
              <w:pStyle w:val="ListParagraph"/>
              <w:numPr>
                <w:ilvl w:val="0"/>
                <w:numId w:val="10"/>
              </w:numPr>
            </w:pPr>
            <w:r>
              <w:rPr/>
              <w:t xml:space="preserve">elektrische apparaten</w:t>
            </w:r>
          </w:p>
          <w:p>
            <w:pPr>
              <w:pStyle w:val="ListParagraph"/>
              <w:numPr>
                <w:ilvl w:val="0"/>
                <w:numId w:val="10"/>
              </w:numPr>
            </w:pPr>
            <w:r>
              <w:rPr/>
              <w:t xml:space="preserve">benjispringen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volgende formules gebruiken in een berekening:</w:t>
              <w:br/>
              <w:t xml:space="preserve"/>
              <w:br/>
              <w:t xml:space="preserve"/>
            </w:r>
          </w:p>
          <w:p>
            <w:pPr>
              <w:pStyle w:val="ListParagraph"/>
              <w:numPr>
                <w:ilvl w:val="0"/>
                <w:numId w:val="11"/>
              </w:numPr>
            </w:pPr>
            <w:r>
              <w:rPr/>
              <w:t xml:space="preserve">de formule voor potentiële energie in het zwaarteveld</w:t>
            </w:r>
          </w:p>
          <w:p>
            <w:pPr>
              <w:pStyle w:val="ListParagraph"/>
              <w:numPr>
                <w:ilvl w:val="0"/>
                <w:numId w:val="11"/>
              </w:numPr>
            </w:pPr>
            <w:r>
              <w:rPr/>
              <w:t xml:space="preserve">de formule voor kinetische energie</w:t>
            </w:r>
          </w:p>
          <w:p>
            <w:pPr>
              <w:pStyle w:val="ListParagraph"/>
              <w:numPr>
                <w:ilvl w:val="0"/>
                <w:numId w:val="11"/>
              </w:numPr>
            </w:pPr>
            <w:r>
              <w:rPr/>
              <w:t xml:space="preserve">de formule voor elastische potentiële energie</w:t>
              <w:br/>
              <w:t xml:space="preserve"/>
            </w:r>
          </w:p>
          <w:p>
            <w:r>
              <w:rPr/>
              <w:t xml:space="preserve"/>
              <w:br/>
              <w:t xml:space="preserve"/>
              <w:br/>
              <w:t xml:space="preserve"/>
              <w:br/>
              <w:t xml:space="preserve">mechanische energie en andere vormen van energie zoals elektrische energie, chemische energie of kernenergie herkennen in concrete toepassingen uit het dagelijkse leven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 van behoud van 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wet van behoud van energie definiëren</w:t>
              <w:br/>
              <w:t xml:space="preserve"/>
              <w:br/>
              <w:t xml:space="preserve">de wet van behoud van energie toepassen in een berekening</w:t>
              <w:br/>
              <w:t xml:space="preserve"/>
              <w:br/>
              <w:t xml:space="preserve">de verschillende vormen van energie benoemen en energieverliezen bij energieomzettingen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rendement</w:t>
              <w:br/>
              <w:t xml:space="preserve"/>
              <w:br/>
              <w:t xml:space="preserve">toepassingen:</w:t>
            </w:r>
          </w:p>
          <w:p>
            <w:pPr>
              <w:pStyle w:val="ListParagraph"/>
              <w:numPr>
                <w:ilvl w:val="0"/>
                <w:numId w:val="12"/>
              </w:numPr>
            </w:pPr>
            <w:r>
              <w:rPr/>
              <w:t xml:space="preserve">energiebesparende lampen</w:t>
            </w:r>
          </w:p>
          <w:p>
            <w:pPr>
              <w:pStyle w:val="ListParagraph"/>
              <w:numPr>
                <w:ilvl w:val="0"/>
                <w:numId w:val="12"/>
              </w:numPr>
            </w:pPr>
            <w:r>
              <w:rPr/>
              <w:t xml:space="preserve">isolatie van woningen</w:t>
            </w:r>
          </w:p>
          <w:p>
            <w:pPr>
              <w:pStyle w:val="ListParagraph"/>
              <w:numPr>
                <w:ilvl w:val="0"/>
                <w:numId w:val="12"/>
              </w:numPr>
            </w:pPr>
            <w:r>
              <w:rPr/>
              <w:t xml:space="preserve">zonneboiler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rendement van een energieomzetting definiëren en berekenen</w:t>
              <w:br/>
              <w:t xml:space="preserve"/>
              <w:br/>
              <w:t xml:space="preserve">energiebesparende toepassingen aan de hand van het rendement evalueren in concrete toepassingen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4.3	LICHT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voortplanting van het licht</w:t>
              <w:br/>
              <w:t xml:space="preserve"/>
              <w:br/>
              <w:t xml:space="preserve">lichtbron, convergerende en divergerende lichtstraal</w:t>
              <w:br/>
              <w:t xml:space="preserve"/>
              <w:br/>
              <w:t xml:space="preserve">kern- en bijschaduw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lichtbron, lichtstraal en de voortplanting van het licht beschrijven</w:t>
              <w:br/>
              <w:t xml:space="preserve"/>
              <w:br/>
              <w:t xml:space="preserve">de eigenschappen van evenwijdige, convergerende en divergerende lichtbundels benoemen en tekenen</w:t>
              <w:br/>
              <w:t xml:space="preserve"/>
              <w:br/>
              <w:t xml:space="preserve">de kern- en bijschaduw tekenen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beeldvorming bij een vlakke spiegel</w:t>
              <w:br/>
              <w:t xml:space="preserve"/>
              <w:br/>
              <w:t xml:space="preserve">invallende straal, invalspunt, normaal, invalshoek en weerkaatste straal</w:t>
              <w:br/>
              <w:t xml:space="preserve"/>
              <w:br/>
              <w:t xml:space="preserve">terugkaatsingswetten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invallende straal, invalspunt, normaal, invalshoek en weerkaatste straal aanduiden op een tekening</w:t>
              <w:br/>
              <w:t xml:space="preserve"/>
              <w:br/>
              <w:t xml:space="preserve">het beeld bij een vlakke spiegel tekenen en de eigenschappen van het beeld toelichten</w:t>
              <w:br/>
              <w:t xml:space="preserve"/>
              <w:br/>
              <w:t xml:space="preserve">de terugkaatsingwetten opsommen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breking van licht</w:t>
              <w:br/>
              <w:t xml:space="preserve"/>
              <w:br/>
              <w:t xml:space="preserve">grensvlak, gebroken straal, brekingshoek</w:t>
              <w:br/>
              <w:t xml:space="preserve"/>
              <w:br/>
              <w:t xml:space="preserve">brekingsindex</w:t>
              <w:br/>
              <w:t xml:space="preserve"/>
              <w:br/>
              <w:t xml:space="preserve">brekingswet van Snellius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grensvlak, de gebroken straal en de brekingshoek aanduiden op een tekening</w:t>
              <w:br/>
              <w:t xml:space="preserve"/>
              <w:br/>
              <w:t xml:space="preserve">het brekingsverschijnsel verklaren en de stralengang tekenen</w:t>
              <w:br/>
              <w:t xml:space="preserve"/>
              <w:br/>
              <w:t xml:space="preserve">de schijnbare verhoging van een voorwerp onder water verklaren</w:t>
              <w:br/>
              <w:t xml:space="preserve"/>
              <w:br/>
              <w:t xml:space="preserve">de grenshoek en de totale terugkaatsing aanduiden in concrete voorbeelden zoals optische vezels, periscopen of verrekijkers</w:t>
              <w:br/>
              <w:t xml:space="preserve"/>
              <w:br/>
              <w:t xml:space="preserve">de brekingsindex definiëren</w:t>
              <w:br/>
              <w:t xml:space="preserve"/>
              <w:br/>
              <w:t xml:space="preserve">de brekingswet van Snellius toepassen in een berekening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beeldvorming bij de dunne bolle lens en het oog</w:t>
              <w:br/>
              <w:t xml:space="preserve"/>
              <w:br/>
              <w:t xml:space="preserve">virtueel of reëel beeld, rechtopstaand of omgekeerd beeld, vergroot of verkleind beeld</w:t>
              <w:br/>
              <w:t xml:space="preserve"/>
              <w:br/>
              <w:t xml:space="preserve">lenzenformule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beeld bij een dunne bolle lens tekenen en de eigenschappen van het beeld toelichten</w:t>
              <w:br/>
              <w:t xml:space="preserve"/>
              <w:br/>
              <w:t xml:space="preserve">de lenzenformule voor dunne lenzen toepassen</w:t>
              <w:br/>
              <w:t xml:space="preserve"/>
              <w:br/>
              <w:t xml:space="preserve">de beeldvorming bij het menselijk oog verklaren</w:t>
              <w:br/>
              <w:t xml:space="preserve"/>
              <w:br/>
              <w:t xml:space="preserve">bijziendheid en verziendheid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optische toestellen: vergrootglas en fototoestel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beeldvorming bij het vergrootglas en het fototoestel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kan wetenschappelijke kennis en inzichten verwerven door een eenvoudige probleemstelling of vraagstelling via de natuurwetenschappelijke methode te benaderen. In de bijlages onder de rubriek 'opdrachten' vind je de omschrijving van de onderzoeksopdracht.</w:t>
        <w:br/>
        <w:t xml:space="preserve"/>
        <w:b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uitvoeren volgens de OVUR-methode</w:t>
              <w:br/>
              <w:t xml:space="preserve"/>
              <w:br/>
              <w:t xml:space="preserve"/>
              <w:br/>
              <w:t xml:space="preserve"/>
              <w:br/>
              <w:t xml:space="preserve"/>
              <w:br/>
              <w:t xml:space="preserve">OVUR staat voor </w:t>
            </w:r>
            <w:r>
              <w:rPr>
                <w:b/>
              </w:rPr>
              <w:t xml:space="preserve">O</w:t>
            </w:r>
            <w:r>
              <w:rPr/>
              <w:t xml:space="preserve">riënteren, </w:t>
            </w:r>
            <w:r>
              <w:rPr>
                <w:b/>
              </w:rPr>
              <w:t xml:space="preserve">V</w:t>
            </w:r>
            <w:r>
              <w:rPr/>
              <w:t xml:space="preserve">oorbereiden, </w:t>
            </w:r>
            <w:r>
              <w:rPr>
                <w:b/>
              </w:rPr>
              <w:t xml:space="preserve">U</w:t>
            </w:r>
            <w:r>
              <w:rPr/>
              <w:t xml:space="preserve">itvoeren en </w:t>
            </w:r>
            <w:r>
              <w:rPr>
                <w:b/>
              </w:rPr>
              <w:t xml:space="preserve">R</w:t>
            </w:r>
            <w:r>
              <w:rPr/>
              <w:t xml:space="preserve">eflecteren/</w:t>
            </w:r>
            <w:r>
              <w:rPr>
                <w:b/>
              </w:rPr>
              <w:t xml:space="preserve">R</w:t>
            </w:r>
            <w:r>
              <w:rPr/>
              <w:t xml:space="preserve">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OVUR-methoden toepassen:</w:t>
              <w:br/>
              <w:t xml:space="preserve"/>
              <w:br/>
              <w:t xml:space="preserve">oriënteren</w:t>
              <w:br/>
              <w:t xml:space="preserve"/>
              <w:br/>
              <w:t xml:space="preserve"/>
            </w:r>
          </w:p>
          <w:p>
            <w:pPr>
              <w:pStyle w:val="ListParagraph"/>
              <w:numPr>
                <w:ilvl w:val="0"/>
                <w:numId w:val="13"/>
              </w:numPr>
            </w:pPr>
            <w:r>
              <w:rPr/>
              <w:t xml:space="preserve">bijkomende informatie uit een wetenschappelijk artikel, media of elektronische drager raadplegen om de onderzoeksvraag te verduidelijken</w:t>
            </w:r>
          </w:p>
          <w:p>
            <w:r>
              <w:rPr/>
              <w:t xml:space="preserve"/>
              <w:br/>
              <w:t xml:space="preserve"/>
              <w:br/>
              <w:t xml:space="preserve"/>
              <w:br/>
              <w:t xml:space="preserve">voorbereiden</w:t>
              <w:br/>
              <w:t xml:space="preserve"/>
              <w:br/>
              <w:t xml:space="preserve"/>
            </w:r>
          </w:p>
          <w:p>
            <w:pPr>
              <w:pStyle w:val="ListParagraph"/>
              <w:numPr>
                <w:ilvl w:val="0"/>
                <w:numId w:val="14"/>
              </w:numPr>
            </w:pPr>
            <w:r>
              <w:rPr/>
              <w:t xml:space="preserve">een mogelijk antwoord of hypothese formuleren op de onderzoeksvraag</w:t>
            </w:r>
          </w:p>
          <w:p>
            <w:r>
              <w:rPr/>
              <w:t xml:space="preserve"/>
              <w:br/>
              <w:t xml:space="preserve"/>
              <w:br/>
              <w:t xml:space="preserve"/>
              <w:br/>
              <w:t xml:space="preserve">uitvoeren</w:t>
              <w:br/>
              <w:t xml:space="preserve"/>
              <w:br/>
              <w:t xml:space="preserve"/>
            </w:r>
          </w:p>
          <w:p>
            <w:pPr>
              <w:pStyle w:val="ListParagraph"/>
              <w:numPr>
                <w:ilvl w:val="0"/>
                <w:numId w:val="15"/>
              </w:numPr>
            </w:pPr>
            <w:r>
              <w:rPr/>
              <w:t xml:space="preserve">het juiste materiaal herkennen, benoemen om het experiment uit te voeren</w:t>
            </w:r>
          </w:p>
          <w:p>
            <w:r>
              <w:rPr/>
              <w:t xml:space="preserve"/>
              <w:br/>
              <w:t xml:space="preserve"/>
              <w:br/>
              <w:t xml:space="preserve"/>
              <w:br/>
              <w:t xml:space="preserve">rapporteren/reflecteren</w:t>
            </w:r>
          </w:p>
          <w:p>
            <w:pPr>
              <w:pStyle w:val="ListParagraph"/>
              <w:numPr>
                <w:ilvl w:val="0"/>
                <w:numId w:val="16"/>
              </w:numPr>
            </w:pPr>
            <w:r>
              <w:rPr/>
              <w:t xml:space="preserve">grafieken en tabellen op een correcte wetenschappelijke manier tekenen</w:t>
            </w:r>
          </w:p>
          <w:p>
            <w:pPr>
              <w:pStyle w:val="ListParagraph"/>
              <w:numPr>
                <w:ilvl w:val="0"/>
                <w:numId w:val="16"/>
              </w:numPr>
            </w:pPr>
            <w:r>
              <w:rPr/>
              <w:t xml:space="preserve">waarnemingen en resultaten met de juiste wetenschappelijke terminologie noteren</w:t>
            </w:r>
          </w:p>
          <w:p>
            <w:pPr>
              <w:pStyle w:val="ListParagraph"/>
              <w:numPr>
                <w:ilvl w:val="0"/>
                <w:numId w:val="16"/>
              </w:numPr>
            </w:pPr>
            <w:r>
              <w:rPr/>
              <w:t xml:space="preserve">waarnemingen en resultaten vergelijken met de hypothese of verwachting</w:t>
            </w:r>
          </w:p>
          <w:p>
            <w:pPr>
              <w:pStyle w:val="ListParagraph"/>
              <w:numPr>
                <w:ilvl w:val="0"/>
                <w:numId w:val="16"/>
              </w:numPr>
            </w:pPr>
            <w:r>
              <w:rPr/>
              <w:t xml:space="preserve">eventuele afwijkingen verklaren, mogelijke oorzaken zoeken</w:t>
            </w:r>
          </w:p>
          <w:p>
            <w:pPr>
              <w:pStyle w:val="ListParagraph"/>
              <w:numPr>
                <w:ilvl w:val="0"/>
                <w:numId w:val="16"/>
              </w:numPr>
            </w:pPr>
            <w:r>
              <w:rPr/>
              <w:t xml:space="preserve">je resultaten, waarnemingen en besluiten vergelijken met andere resultaten</w:t>
            </w:r>
          </w:p>
          <w:p>
            <w:pPr>
              <w:pStyle w:val="ListParagraph"/>
              <w:numPr>
                <w:ilvl w:val="0"/>
                <w:numId w:val="16"/>
              </w:numPr>
            </w:pPr>
            <w:r>
              <w:rPr/>
              <w:t xml:space="preserve">een antwoord formuleren op de onderzoeksvraag in de juiste wetenschappelijke terminologie</w:t>
            </w:r>
          </w:p>
          <w:p>
            <w:pPr>
              <w:pStyle w:val="ListParagraph"/>
              <w:numPr>
                <w:ilvl w:val="0"/>
                <w:numId w:val="16"/>
              </w:numPr>
            </w:pPr>
            <w:r>
              <w:rPr/>
              <w:t xml:space="preserve">een besluit formuleren in de juiste wetenschappelijke terminologie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Je maakt voor dit vak een onderzoeksverslag. Je vindt de opdracht hier als bijlage 1. </w:t>
        <w:br/>
        <w:t>Het sjabloon voor het verslag vind je bij de bijlagen als bijlage 2.</w:t>
      </w:r>
    </w:p>
    <w:p>
      <w:pPr>
        <w:jc w:val="both"/>
      </w:pPr>
      <w:r>
        <w:t xml:space="preserve">Maak je opdracht en laad de pdf van je verslag ten laatste 7 dagen voor het examen op in het EC-platform. </w:t>
      </w:r>
    </w:p>
    <w:p>
      <w:pPr>
        <w:jc w:val="both"/>
      </w:pPr>
      <w:r>
        <w:t xml:space="preserve">Voorbeeld: je hebt op maandag 21 januari examen. Je laadt je verslag ten laatste op maandag 14 januari om 23.59 uur op.</w:t>
      </w:r>
      <w:r w:rsidRPr="003E4776">
        <w:t/>
      </w:r>
    </w:p>
    <w:p w14:paraId="5B5E3ED3" w14:textId="0FE7D0D3" w:rsidR="0076163F" w:rsidRDefault="0076163F" w:rsidP="0076163F">
      <w:r w:rsidRPr="003E4776">
        <w:t/>
      </w:r>
      <w:r>
        <w:t>Bijlage 1 Onderzoeksopdracht fysica.pdf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Bijlagen_FYS2A.pdf</w:t>
      </w:r>
      <w:r w:rsidRPr="003E4776">
        <w:t/>
      </w:r>
    </w:p>
    <w:p w14:paraId="499D1B0A" w14:textId="79267327" w:rsidR="0076163F" w:rsidRDefault="0076163F" w:rsidP="0076163F">
      <w:r w:rsidRPr="003E4776">
        <w:t/>
      </w:r>
      <w:r>
        <w:t>Bijlage 2 Sjabloon onderzoeksopdracht fysica.docx</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fysica 2aso is een digitaal examen. Vraag je je af hoe een digitaal examen verloopt? De uitleg over onze digitale examens, de instructies en heel wat voorbeeldvragen vind je op:  http://examencommissiesecundaironderwijs.be/examens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Tijdens het examen stellen we 4 GeoGebra apps ter beschikking:</w:t>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w:t>
      </w:r>
    </w:p>
    <w:p>
      <w:pPr>
        <w:jc w:val="both"/>
      </w:pPr>
      <w:r>
        <w:t xml:space="preserve"/>
      </w:r>
    </w:p>
    <w:p>
      <w:pPr>
        <w:jc w:val="both"/>
      </w:pPr>
      <w:r>
        <w:t xml:space="preserve">Een gsm, tablet of smartphone zijn niet toegelaten om te rekenen. Bovendien stellen we geen rekentoestellen ter beschikking.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het formularium fysica dat je vindt als bijlage 3 in de vakfiche</w:t>
      </w:r>
    </w:p>
    <w:p>
      <w:pPr>
        <w:jc w:val="both"/>
      </w:pPr>
      <w:r>
        <w:t xml:space="preserve">een balpen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Vaktermen dienen wel correct te worden gebruikt.</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Onderzoeksopdracht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Eenheden, grootheden en meetresultaten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Snelheid en kracht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Materie en druk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Warmte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Energieomzettingen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Licht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Quark 3.2 en 4.2</w:t>
              <w:br/>
              <w:t xml:space="preserve"/>
              <w:br/>
              <w:t xml:space="preserve">Sirius 3 en 4.2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Interactie 3.2 en 4.2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secundair.diekeure.be</w:t>
              <w:br/>
              <w:t xml:space="preserve"/>
              <w:br/>
              <w:t xml:space="preserve">050 / 47 12 72</w:t>
              <w:br/>
              <w:t xml:space="preserve"/>
              <w:br/>
              <w:t xml:space="preserve">info@diekeure.be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FysicaXpert 3.2 en 4.2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Impuls 1(2u) en 2(2u)</w:t>
              <w:br/>
              <w:t xml:space="preserve"/>
              <w:br/>
              <w:t xml:space="preserve">Pulsar 1(2u) en 2(2u)</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 / 36 36 36</w:t>
              <w:br/>
              <w:t xml:space="preserve"/>
              <w:br/>
              <w:t xml:space="preserve">klantendienst@plantyn.be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 Wat vind je hier ?</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http://www.vonw.be/jon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site vind je vragen en antwoorden van de voorbije edities van de Junior Olympiade Natuurwetenschappen.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