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aso 6.1</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Om je heen zie je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 </w:t>
        <w:br/>
        <w:t xml:space="preserve"/>
        <w:br/>
        <w:t xml:space="preserve">Je hebt ongetwijfeld gemerkt dat je regelmatig alledaagse problemen moet oplossen of vragen moet beantwoorden waarvoor je wiskunde nodig hebt. Denk aan meetkundige vraagstukken oplossen of een verband tussen variabelen toepassen. Die problemen zelfstandig aanpakken op een wiskundige manier is niet altijd gemakkelijk. Het vraagt doorzettingsvermogen en volharding. </w:t>
      </w:r>
    </w:p>
    <w:p>
      <w:r>
        <w:rPr/>
        <w:t xml:space="preserve"/>
      </w:r>
      <w:r>
        <w:rPr>
          <w:color w:val="00B050"/>
        </w:rPr>
        <w:t/>
      </w:r>
    </w:p>
    <w:p w14:paraId="70391787" w14:textId="3DB223A8" w:rsidR="00047953" w:rsidRDefault="001D02B3" w:rsidP="0082741A">
      <w:r>
        <w:rPr>
          <w:color w:val="00B050"/>
        </w:rPr>
        <w:t/>
      </w:r>
      <w:r>
        <w:t/>
      </w:r>
      <w:r>
        <w:rPr/>
        <w:t xml:space="preserve">Je moet een aantal basisleerinhouden beheersen en belangrijke wiskundige vaardigheden ontwikkelen om structuren en verbanden in het dagelijkse leven te herkennen en zo die concrete problemen op te lossen. De vraag naar praktisch bruikbare en concrete wiskunde is in onze samenleving groot. Het vak wiskunde biedt antwoorden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dat erg nuttig.</w:t>
        <w:br/>
        <w:t xml:space="preserve"/>
        <w:br/>
        <w:t xml:space="preserve">Je koos een richting met extra wiskunde. Het is de bedoeling dat je het wiskundig denken en redeneren voldoende ontwikkelt. Dat je kan analyseren, argumenteren, modelleren en structureren in de specifieke wiskundetaal. Je moet je kennis, inzicht en vaardigheden leren toepassen op gesloten en open wiskundige problemen uit de wetenschap, techniek en maatschappij.</w:t>
        <w:br/>
        <w:t xml:space="preserve"/>
        <w:br/>
        <w:t xml:space="preserve">Tenslotte heeft wiskunde ook zijn sporen nagelaten in culturele, historische en wetenschappelijke evoluties. Leer die herkennen en de mogelijkheden en beperkingen te waarderen.</w:t>
        <w:br/>
        <w:t xml:space="preserve"/>
        <w:br/>
        <w:t xml:space="preserve"> </w:t>
        <w:br/>
        <w:t xml:space="preserve"/>
        <w:br/>
        <w:t xml:space="preserve">Deze vakfiche sluit nauw aan bij de eindtermen van de Vlaamse overheid. Deze eindtermen vormen de basis voor onze examens. Zo toetsen we of je de vereiste vaardigheden en competenties voldoende beheerst.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Reële functies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Analyse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je de verschillende tabellen met leerinhouden begint te bestuderen, geven we je enkele studie- en examentips.</w:t>
        <w:br/>
        <w:t xml:space="preserve"/>
        <w:br/>
        <w:t xml:space="preserve"/>
      </w:r>
      <w:r>
        <w:rPr>
          <w:b/>
        </w:rPr>
        <w:t xml:space="preserve">Studietips</w:t>
      </w:r>
      <w:r>
        <w:rPr/>
        <w:t xml:space="preserve"/>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Kies de meest efficiënte in functie van de oefening.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5.      Studeren met leeftijdsgenoten kan motiveren en helpen je eigen mogelijkheden te vergroten.</w:t>
        <w:br/>
        <w:t xml:space="preserve"/>
        <w:br/>
        <w:t xml:space="preserve"/>
      </w:r>
      <w:r>
        <w:rPr>
          <w:b/>
        </w:rPr>
        <w:t xml:space="preserve">Enkele examentips</w:t>
      </w:r>
      <w:r>
        <w:rPr/>
        <w:t xml:space="preserve"/>
        <w:br/>
        <w:t xml:space="preserve"/>
        <w:br/>
        <w:t xml:space="preserve">1.      Op het examen noteer je altijd je tussenstappen, ook al vind je ze vanzelfsprekend. Ze geven jou houvast voor de opbouw van een oefening. We kunnen bij de verbetering je redenering en werkwijze beter volgen.</w:t>
        <w:br/>
        <w:t xml:space="preserve"/>
        <w:br/>
        <w:t xml:space="preserve">2.      Wees  nauwkeurig en consequent. De manier waarop je een resultaat bereikt is immers even belangrijk als het antwoord zelf. We houden daar rekening mee bij het toekennen van de punten.</w:t>
        <w:br/>
        <w:t xml:space="preserve"/>
        <w:br/>
        <w:t xml:space="preserve">3.      De laatste jaren heeft ICT zijn intrede gedaan en het gewone rekenwerk overgenomen. Het biedt een ondersteuning en voor het tekenen van grafieken van verbanden tussen grootheden is het een knap en tijdbesparend middel. Het tekenen van grafieken komt  meermaals voor bij de leerinhouden. Ook bij het oplossen van wiskundige problemen gebruik je verantwoord ICT. Oefen dan ook voldoende en leer je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Reële functies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Reële 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reële functies: veeltermfuncties, rationale, irrationale, goniometrische, exponentiële en logaritmische functies</w:t>
              <w:br/>
              <w:t xml:space="preserve"/>
              <w:br/>
              <w:t xml:space="preserve">de grafiek van reële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tekenen met behulp van ICT</w:t>
              <w:br/>
              <w:t xml:space="preserve"/>
              <w:br/>
              <w:t xml:space="preserve">de grafische voorstelling van deze functies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reële functies: </w:t>
              <w:br/>
              <w:t xml:space="preserve">domein en bereik, eventuele nulwaarden en/of extremawaarden, eventuele symmetrieën (punt- en lijnsymmetrie) , tekenverandering,</w:t>
              <w:br/>
              <w:t xml:space="preserve"> stijgen, dalen of constant zijn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de grafische voorstelling</w:t>
              <w:br/>
              <w:t xml:space="preserve"/>
              <w:br/>
              <w:t xml:space="preserve">de juiste notaties en/of terminologie gebruiken voor het noteren van deze kenmerken</w:t>
              <w:br/>
              <w:t xml:space="preserve"/>
              <w:br/>
              <w:t xml:space="preserve">de grafische voorstelling vertalen naar een tekenverloop of –schema</w:t>
              <w:br/>
              <w:t xml:space="preserve"/>
              <w:br/>
              <w:t xml:space="preserve">de grafische voorstelling vertalen naar een verloopschema</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Veeltermfuncties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differentiequotiënt</w:t>
              <w:br/>
              <w:t xml:space="preserve"/>
              <w:br/>
              <w:t xml:space="preserve">de afgeleide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gemiddelde verandering over een interval berekenen</w:t>
              <w:br/>
              <w:t xml:space="preserve"/>
              <w:br/>
              <w:t xml:space="preserve">het verband leggen tussen de afgeleide in een punt en de ogenblikkelijke verandering in dat punt</w:t>
              <w:br/>
              <w:t xml:space="preserve"/>
              <w:br/>
              <w:t xml:space="preserve">het verband leggen tussen de helling in een punt, de richtingscoëfficiënt van de raaklijn in dat punt en het differentiequotiënt</w:t>
              <w:br/>
              <w:t xml:space="preserve"/>
              <w:br/>
              <w:t xml:space="preserve">de afgeleide van een functie in een punt herkennen als de richtingscoëfficiënt van de raaklijn aan de kromme in dat punt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eerste en tweede afgeleide van een veeltermfunctie</w:t>
              <w:br/>
              <w:t xml:space="preserve"/>
              <w:br/>
              <w:t xml:space="preserve">de som- en productregel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regel toepassen voor het berekenen van de eerste en tweede afgeleide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definities van begrippen uit de analyse: afgeleide, min/max, stijgen/dalen, buigpunt, hol/bol...</w:t>
              <w:br/>
              <w:t xml:space="preserve"/>
              <w:br/>
              <w:t xml:space="preserve"> </w:t>
              <w:br/>
              <w:t xml:space="preserve"/>
              <w:br/>
              <w:t xml:space="preserve">het verloop van een veeltermfunctie</w:t>
              <w:br/>
              <w:t xml:space="preserve"/>
              <w:br/>
              <w:t xml:space="preserve">nulwaarden van de eerste en de tweede afgeleide</w:t>
              <w:br/>
              <w:t xml:space="preserve"/>
              <w:br/>
              <w:t xml:space="preserve">de ontbindingstechnieken: discriminant, gemeenschappelijke factor, regel van Horner</w:t>
              <w:br/>
              <w:t xml:space="preserve"/>
              <w:br/>
              <w:t xml:space="preserve"> </w:t>
              <w:br/>
              <w:t xml:space="preserve"/>
              <w:br/>
              <w:t xml:space="preserve"> </w:t>
              <w:br/>
              <w:t xml:space="preserve"/>
              <w:br/>
              <w:t xml:space="preserve"> </w:t>
              <w:br/>
              <w:t xml:space="preserve"/>
              <w:br/>
              <w:t xml:space="preserve">tekenverloop van de eerste en de tweede afgeleide</w:t>
              <w:br/>
              <w:t xml:space="preserve"/>
              <w:br/>
              <w:t xml:space="preserve">stijgen en dalen van een veeltermfunctie</w:t>
              <w:br/>
              <w:t xml:space="preserve"/>
              <w:br/>
              <w:t xml:space="preserve">hol/bol zijn van een veeltermfunctie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definities formuleren</w:t>
              <w:br/>
              <w:t xml:space="preserve"/>
              <w:br/>
              <w:t xml:space="preserve"> </w:t>
              <w:br/>
              <w:t xml:space="preserve"/>
              <w:br/>
              <w:t xml:space="preserve">de eerste en de tweede afgeleide van een veeltermfunctie berekenen</w:t>
              <w:br/>
              <w:t xml:space="preserve"/>
              <w:br/>
              <w:t xml:space="preserve">de nulwaarden van de eerste afgeleide en de tweede afgeleide bepalen</w:t>
              <w:br/>
              <w:t xml:space="preserve"/>
              <w:br/>
              <w:t xml:space="preserve">de nulwaarden van de eerste afgeleide herkennen als de extremawaarden van deze functie</w:t>
              <w:br/>
              <w:t xml:space="preserve"/>
              <w:br/>
              <w:t xml:space="preserve">de nulwaarden van de tweede afgeleide herkennen als de buigpunten van deze functie</w:t>
              <w:br/>
              <w:t xml:space="preserve"/>
              <w:br/>
              <w:t xml:space="preserve">het tekenverloop van de eerste en de tweede afgeleide bepalen</w:t>
              <w:br/>
              <w:t xml:space="preserve"/>
              <w:br/>
              <w:t xml:space="preserve">het verband leggen tussen het teken van de eerste afgeleide en het veranderingsgedrag van deze functie</w:t>
              <w:br/>
              <w:t xml:space="preserve"/>
              <w:br/>
              <w:t xml:space="preserve">het verband leggen tussen het teken van de tweede afgeleide en het hol/bol zijn van deze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extremawaarden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vraagstukken, die te herleiden zijn tot het bepalen van extremawaarden, zelf een veranderlijke kiezen, het functievoorschrift van de veeltermfunctie opstellen en de extrema bepalen</w:t>
              <w:br/>
              <w:t xml:space="preserve"/>
              <w:br/>
              <w:t xml:space="preserve">vraagstukken over extremaproblematiek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eerste en tweede afgeleide in domeinen buiten de wiskunde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toepassingen herkennen en berekenen van het begrip afgeleide in domeinen buiten de wiskunde zoals de afgeleide van de plaatsfunctie van een wagen, de afgeleide functie van de snelheidsfunctie, snelheid, versnelling…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Rationale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domein en bereik van een 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domein en bereik van deze functie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asymptoten van een 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vergelijkingen van de verticale, horizontale en schuine asymptoot afleiden uit de grafische voorstelling van deze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euclidische deling en het binomium van Newton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het functievoorschrift herkennen of een rationale functie een schuine asymptoot heeft</w:t>
              <w:br/>
              <w:t xml:space="preserve"/>
              <w:br/>
              <w:t xml:space="preserve">het binomium toepassen waar nodig</w:t>
              <w:br/>
              <w:t xml:space="preserve"/>
              <w:br/>
              <w:t xml:space="preserve">deze deling toepassen voor het bepalen van de vergelijking van de schuine asymptoot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Irrationale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domein en bereik van een eenvoudige irrationale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domein en bereik van deze functie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asymptoten van een irrationale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vergelijkingen van de verticale, horizontale en schuine asymptoten afleiden uit de grafische voorstelling van deze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machtsfunctie en de wortelfunctie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machtsfunctie herkennen als de inverse van de wortelfunctie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Exponentiële en logaritmische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machten met rationale exponenten</w:t>
              <w:br/>
              <w:t xml:space="preserve"/>
              <w:br/>
              <w:t xml:space="preserve"/>
            </w:r>
            <w:r>
              <w:rPr/>
            </w:r>
            <m:oMath>
              <m:sSup>
                <m:e>
                  <m:r>
                    <m:t>n</m:t>
                  </m:r>
                </m:e>
                <m:sup>
                  <m:r>
                    <m:t>de</m:t>
                  </m:r>
                </m:sup>
              </m:sSup>
            </m:oMath>
            <w:r>
              <w:rPr/>
              <w:t xml:space="preserve"> machtswortels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rekenregels van de machtsverheffing toepassen op machten met rationale exponenten</w:t>
              <w:br/>
              <w:t xml:space="preserve"/>
              <w:br/>
              <w:t xml:space="preserve">rekenen met   </w:t>
            </w:r>
            <w:r>
              <w:rPr/>
            </w:r>
            <m:oMath>
              <m:sSup>
                <m:e>
                  <m:r>
                    <m:t>n</m:t>
                  </m:r>
                </m:e>
                <m:sup>
                  <m:r>
                    <m:t>de</m:t>
                  </m:r>
                </m:sup>
              </m:sSup>
            </m:oMath>
            <w:r>
              <w:rPr/>
              <w:t xml:space="preserve"> machtswortels</w:t>
              <w:br/>
              <w:t xml:space="preserve"/>
              <w:br/>
              <w:t xml:space="preserve">de vormen   </w:t>
            </w:r>
            <w:r>
              <w:rPr/>
            </w:r>
            <m:oMath>
              <m:sSup>
                <m:e>
                  <m:r>
                    <m:t>a</m:t>
                  </m:r>
                </m:e>
                <m:sup>
                  <m:f>
                    <m:fPr>
                      <m:type m:val="bar"/>
                    </m:fPr>
                    <m:num>
                      <m:r>
                        <m:t>m</m:t>
                      </m:r>
                    </m:num>
                    <m:den>
                      <m:r>
                        <m:t>n</m:t>
                      </m:r>
                    </m:den>
                  </m:f>
                </m:sup>
              </m:sSup>
            </m:oMath>
            <w:r>
              <w:rPr/>
              <w:t xml:space="preserve">  omzetten naar   </w:t>
            </w:r>
            <w:r>
              <w:rPr/>
            </w:r>
            <m:oMath>
              <m:rad>
                <m:radPr>
                  <m:degHide m:val="off"/>
                </m:radPr>
                <m:deg>
                  <m:r>
                    <m:t>n</m:t>
                  </m:r>
                </m:deg>
                <m:e>
                  <m:sSup>
                    <m:e>
                      <m:r>
                        <m:t>a</m:t>
                      </m:r>
                    </m:e>
                    <m:sup>
                      <m:r>
                        <m:t>m</m:t>
                      </m:r>
                    </m:sup>
                  </m:sSup>
                </m:e>
              </m:rad>
            </m:oMath>
            <w:r>
              <w:rPr/>
              <w:t xml:space="preserve">   en omgekeerd (met a&gt;0)</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exponentiële functie: domein, bereik, bijzondere waarden, stijgen/dalen, asymptotisch gedrag, beginwaarde, groeifactor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tekenen met behulp van ICT</w:t>
              <w:br/>
              <w:t xml:space="preserve"/>
              <w:br/>
              <w:t xml:space="preserve">deze kenmerken aflezen van de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exponentiële en logaritmische functie</w:t>
              <w:br/>
              <w:t xml:space="preserve"/>
              <w:br/>
              <w:t xml:space="preserve">het getal e en de natuurlijke logaritme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logaritmische functie herkennen als de inverse van de exponentiële functie en omgekeerd</w:t>
              <w:br/>
              <w:t xml:space="preserve"/>
              <w:br/>
              <w:t xml:space="preserve">de natuurlijke logaritme herkennen als de inverse functie van </w:t>
            </w:r>
            <w:r>
              <w:rPr>
                <w:vertAlign w:val="superscript"/>
              </w:rPr>
              <w:t xml:space="preserve"> </w:t>
            </w:r>
            <w:r>
              <w:rPr/>
            </w:r>
            <m:oMath>
              <m:sSup>
                <m:e>
                  <m:r>
                    <m:t>e</m:t>
                  </m:r>
                </m:e>
                <m:sup>
                  <m:r>
                    <m:t>x</m:t>
                  </m:r>
                </m:sup>
              </m:sSup>
            </m:oMath>
            <w:r>
              <w:rPr/>
              <w:t xml:space="preserve"/>
            </w:r>
            <w:r>
              <w:rPr/>
              <w:t xml:space="preserve"> en omgekeerd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lineaire en exponentiële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groei herkennen in een verwoording, een tabelvorm, een functievoorschrift</w:t>
              <w:br/>
              <w:t xml:space="preserve"/>
              <w:br/>
              <w:t xml:space="preserve">het functievoorschrift opstellen voor deze groei op basis van de grafiek of de tabelvorm</w:t>
              <w:br/>
              <w:t xml:space="preserve"/>
              <w:br/>
              <w:t xml:space="preserve">een groeifactor met rationale exponent berekenen</w:t>
              <w:br/>
              <w:t xml:space="preserve"/>
              <w:br/>
              <w:t xml:space="preserve">voor een exponentiële groei berekeningen uitvoeren met betrekking tot de beginwaarde, groeifactor en groeipercentage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vergelijkingen van de vorm </w:t>
            </w:r>
            <w:r>
              <w:rPr/>
            </w:r>
            <m:oMath>
              <m:sSup>
                <m:e>
                  <m:r>
                    <m:t>a</m:t>
                  </m:r>
                </m:e>
                <m:sup>
                  <m:r>
                    <m:t>b</m:t>
                  </m:r>
                </m:sup>
              </m:sSup>
              <m:r>
                <m:rPr>
                  <m:nor/>
                </m:rPr>
                <m:t/>
              </m:r>
              <m:r>
                <m:t>=</m:t>
              </m:r>
              <m:r>
                <m:rPr>
                  <m:nor/>
                </m:rPr>
                <m:t/>
              </m:r>
              <m:r>
                <m:t>c</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rekenregel van de logaritme van de macht of de definitie van de logaritme toepassen voor het berekenen van de derde veranderlijke als de andere twee gegeven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en logaritmische verbanden, vergelijkingen en ongelijkheden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exponentieel en logaritmisch verband omzetten naar een functievoorschrift</w:t>
              <w:br/>
              <w:t xml:space="preserve"/>
              <w:br/>
              <w:t xml:space="preserve">vraagstukken over exponentiële en logaritmische verbanden oplossen met behulp van logaritmen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rekenregels van logaritmen: product, quotiënt, macht en verandering van grondtal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rekenregels toepassen voor het oplossen van exponentiële en logaritmische vergelijkingen en ongelijkheden</w:t>
              <w:br/>
              <w:t xml:space="preserve"/>
              <w:br/>
              <w:t xml:space="preserve">logaritmen berekenen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Goniometrische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hoeken in graden en radialen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maatgetal van een hoek omzetten van zestigdelige graden in radialen en omgekeerd</w:t>
              <w:br/>
              <w:t xml:space="preserve"/>
              <w:br/>
              <w:t xml:space="preserve">de hoeken in graden en radialen berekenen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verwante hoeken en hun goniometrische getallen: sinus, cosinus en tangens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verwantschap tussen de goniometrische getallen van hoeken herkennen op een goniometrische cirkel</w:t>
              <w:br/>
              <w:t xml:space="preserve"/>
              <w:br/>
              <w:t xml:space="preserve">de verwantschap van de goniometrische getallen hanteren voor het vereenvoudigen van goniometrische uitdrukkingen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sinus- , cosinus- en tangensfunctie en hun grafische voorstelling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grafieken tekenen op basis van de goniometrische cirkel</w:t>
              <w:br/>
              <w:t xml:space="preserve"/>
              <w:br/>
              <w:t xml:space="preserve">deze functies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sinus-, cosinus- en tangensfunctie: domein, bereik, periodiciteit, nulwaarden, extremawaarden, stijgen en dalen, asymptoten, hol/bol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aflezen van de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de algemene sinusfunctie</w:t>
              <w:br/>
              <w:t xml:space="preserve">f(x) = a . sin ( b x + c ) + 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sinusfunctie tekenen met behulp van de ICT</w:t>
              <w:br/>
              <w:t xml:space="preserve"/>
              <w:br/>
              <w:t xml:space="preserve">de coëfficiënten a, b, c en d aflezen van de grafische voorstelling</w:t>
              <w:br/>
              <w:t xml:space="preserve"/>
              <w:br/>
              <w:t xml:space="preserve">de coëfficiënten a, b, c en d interpreteren</w:t>
              <w:br/>
              <w:t xml:space="preserve"/>
              <w:br/>
              <w:t xml:space="preserve">een functievoorschrift opstellen op basis van een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basisvergelijkingen in sinus, cosinus en tangens</w:t>
              <w:br/>
              <w:t xml:space="preserve"/>
              <w:br/>
              <w:t xml:space="preserve"/>
              <w:br/>
              <w:t xml:space="preserve"/>
              <w:br/>
              <w:t xml:space="preserve"/>
              <w:br/>
              <w:t xml:space="preserve">basisongelijkheden in sinus, cosinus en tangens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en ongelijkheden grafisch oplossen met behulp van de grafische voorstelling of de goniometrische cirkel</w:t>
              <w:br/>
              <w:t xml:space="preserve"/>
              <w:br/>
              <w:t xml:space="preserve">deze vergelijkingen en ongelijkheden algebraïsch oplossen</w:t>
              <w:br/>
              <w:t xml:space="preserve"/>
              <w:br/>
              <w:t xml:space="preserve">de inverse functie van de sinus, cosinus en tangens gebruiken om het maatgetal van de hoek x te vinden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som- en verschilformules, verdubbelingsformules, formules van Simpson, ontbinden in 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formules toepassen voor het oplossen van goniometrische vergelijkingen en ongelijkheden in sinus, cosinus en tangens</w:t>
              <w:br/>
              <w:t xml:space="preserve"/>
              <w:br/>
              <w:t xml:space="preserve">deze formules toepassen voor het bewijzen van goniometrische identiteiten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goniometrische verbanden en periodieke verschijnselen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oplossen waarbij een periodiek verschijnsel kan beschreven worden met een goniometrisch verband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Analyse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Verloop en kenmerken van 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verloop van een rationale, irrationale, goniometrische, exponentiële, logaritmische functie</w:t>
            </w:r>
          </w:p>
          <w:p>
            <w:pPr>
              <w:pStyle w:val="ListParagraph"/>
              <w:numPr>
                <w:ilvl w:val="0"/>
                <w:numId w:val="8"/>
              </w:numPr>
            </w:pPr>
            <w:r>
              <w:rPr/>
              <w:t xml:space="preserve">domein en bereik</w:t>
            </w:r>
          </w:p>
          <w:p>
            <w:pPr>
              <w:pStyle w:val="ListParagraph"/>
              <w:numPr>
                <w:ilvl w:val="0"/>
                <w:numId w:val="8"/>
              </w:numPr>
            </w:pPr>
            <w:r>
              <w:rPr/>
              <w:t xml:space="preserve">snijpunten met de assen</w:t>
            </w:r>
          </w:p>
          <w:p>
            <w:pPr>
              <w:pStyle w:val="ListParagraph"/>
              <w:numPr>
                <w:ilvl w:val="0"/>
                <w:numId w:val="8"/>
              </w:numPr>
            </w:pPr>
            <w:r>
              <w:rPr/>
              <w:t xml:space="preserve">tekenschema van de functie</w:t>
            </w:r>
          </w:p>
          <w:p>
            <w:pPr>
              <w:pStyle w:val="ListParagraph"/>
              <w:numPr>
                <w:ilvl w:val="0"/>
                <w:numId w:val="8"/>
              </w:numPr>
            </w:pPr>
            <w:r>
              <w:rPr/>
              <w:t xml:space="preserve">veranderingsgedrag van de functie</w:t>
            </w:r>
          </w:p>
          <w:p>
            <w:pPr>
              <w:pStyle w:val="ListParagraph"/>
              <w:numPr>
                <w:ilvl w:val="0"/>
                <w:numId w:val="8"/>
              </w:numPr>
            </w:pPr>
            <w:r>
              <w:rPr/>
              <w:t xml:space="preserve">hol/bol zijn van de functie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verloop van deze functies uitvoeren zijnde</w:t>
              <w:br/>
              <w:t xml:space="preserve"/>
              <w:br/>
              <w:t xml:space="preserve"/>
            </w:r>
          </w:p>
          <w:p>
            <w:pPr>
              <w:pStyle w:val="ListParagraph"/>
              <w:numPr>
                <w:ilvl w:val="0"/>
                <w:numId w:val="9"/>
              </w:numPr>
            </w:pPr>
            <w:r>
              <w:rPr/>
              <w:t xml:space="preserve">het domein en bereik van deze functies bepalen</w:t>
            </w:r>
          </w:p>
          <w:p>
            <w:pPr>
              <w:pStyle w:val="ListParagraph"/>
              <w:numPr>
                <w:ilvl w:val="0"/>
                <w:numId w:val="9"/>
              </w:numPr>
            </w:pPr>
            <w:r>
              <w:rPr/>
              <w:t xml:space="preserve">deze snijpunten algebraïsch bepalen</w:t>
            </w:r>
          </w:p>
          <w:p>
            <w:pPr>
              <w:pStyle w:val="ListParagraph"/>
              <w:numPr>
                <w:ilvl w:val="0"/>
                <w:numId w:val="9"/>
              </w:numPr>
            </w:pPr>
            <w:r>
              <w:rPr/>
              <w:t xml:space="preserve">het tekenschema van deze functie opstellen</w:t>
            </w:r>
          </w:p>
          <w:p>
            <w:pPr>
              <w:pStyle w:val="ListParagraph"/>
              <w:numPr>
                <w:ilvl w:val="0"/>
                <w:numId w:val="9"/>
              </w:numPr>
            </w:pPr>
            <w:r>
              <w:rPr/>
              <w:t xml:space="preserve">de eerste en de tweede afgeleide van deze functies berekenen</w:t>
            </w:r>
          </w:p>
          <w:p>
            <w:pPr>
              <w:pStyle w:val="ListParagraph"/>
              <w:numPr>
                <w:ilvl w:val="0"/>
                <w:numId w:val="9"/>
              </w:numPr>
            </w:pPr>
            <w:r>
              <w:rPr/>
              <w:t xml:space="preserve">de nulwaarden van de eerste afgeleide en de tweede afgeleide bepalen</w:t>
            </w:r>
          </w:p>
          <w:p>
            <w:pPr>
              <w:pStyle w:val="ListParagraph"/>
              <w:numPr>
                <w:ilvl w:val="0"/>
                <w:numId w:val="9"/>
              </w:numPr>
            </w:pPr>
            <w:r>
              <w:rPr/>
              <w:t xml:space="preserve">de nulwaarden van de eerste afgeleide herkennen als de extremawaarden van deze functies</w:t>
            </w:r>
          </w:p>
          <w:p>
            <w:pPr>
              <w:pStyle w:val="ListParagraph"/>
              <w:numPr>
                <w:ilvl w:val="0"/>
                <w:numId w:val="9"/>
              </w:numPr>
            </w:pPr>
            <w:r>
              <w:rPr/>
              <w:t xml:space="preserve">de nulwaarden van de tweede afgeleide herkennen als de buigpunten van deze functies</w:t>
            </w:r>
          </w:p>
          <w:p>
            <w:pPr>
              <w:pStyle w:val="ListParagraph"/>
              <w:numPr>
                <w:ilvl w:val="0"/>
                <w:numId w:val="9"/>
              </w:numPr>
            </w:pPr>
            <w:r>
              <w:rPr/>
              <w:t xml:space="preserve">de vergelijking van de raaklijn aan de kromme in een (buig)punt van deze functies bepalen</w:t>
            </w:r>
          </w:p>
          <w:p>
            <w:pPr>
              <w:pStyle w:val="ListParagraph"/>
              <w:numPr>
                <w:ilvl w:val="0"/>
                <w:numId w:val="9"/>
              </w:numPr>
            </w:pPr>
            <w:r>
              <w:rPr/>
              <w:t xml:space="preserve">het tekenverloop van de eerste en de tweede afgeleide bepalen</w:t>
            </w:r>
          </w:p>
          <w:p>
            <w:pPr>
              <w:pStyle w:val="ListParagraph"/>
              <w:numPr>
                <w:ilvl w:val="0"/>
                <w:numId w:val="9"/>
              </w:numPr>
            </w:pPr>
            <w:r>
              <w:rPr/>
              <w:t xml:space="preserve">het verband leggen tussen het teken van de eerste afgeleide en het veranderingsgedrag van deze functies</w:t>
            </w:r>
          </w:p>
          <w:p>
            <w:pPr>
              <w:pStyle w:val="ListParagraph"/>
              <w:numPr>
                <w:ilvl w:val="0"/>
                <w:numId w:val="9"/>
              </w:numPr>
            </w:pPr>
            <w:r>
              <w:rPr/>
              <w:t xml:space="preserve">het verband leggen tussen het teken van de tweede afgeleide en het hol/bol zijn van deze functies </w:t>
            </w:r>
          </w:p>
          <w:p>
            <w:r>
              <w:rPr/>
              <w:t xml:space="preserve"/>
              <w:br/>
              <w:t xml:space="preserve"/>
              <w:br/>
              <w:t xml:space="preserve"/>
              <w:br/>
              <w:t xml:space="preserve">aan de hand van een onderzoek de grafiek van deze functies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extremawaarden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vraagstukken, die te herleiden zijn tot het bepalen van extremawaarden, zelf een veranderlijke kiezen, het functievoorschrift van een rationale, irrationale of goniometrische functie opstellen en de extremawaarden bepalen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Integralen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onbepaalde integraal van een veeltermfunctie, rationale, irrationale, goniometrische, exponentiële en logaritmische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onbepaalde integraal voor deze functies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integratiemethodes: splitsen van integralen (som), substitutiemethode, partiële integratie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methoden manueel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bepaalde integraal, primitieve functie en oppervlakte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bepaalde integraal en de primitieve functie</w:t>
              <w:br/>
              <w:t xml:space="preserve"/>
              <w:br/>
              <w:t xml:space="preserve">het verband leggen tussen de bepaalde integraal en de oppervlakte tussen de grafiek van een functie en de horizontale 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bepaalde integraal van een veeltermfunctie, rationale, irrationale, goniometrische, exponentiële en logaritmische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integraal manueel berekenen</w:t>
              <w:br/>
              <w:t xml:space="preserve"/>
              <w:br/>
              <w:t xml:space="preserve">deze integraal berekenen met behulp van ICT</w:t>
              <w:br/>
              <w:t xml:space="preserve"/>
              <w:br/>
              <w:t xml:space="preserve">deze integraal toepassen bij de berekening van een oppervlakte</w:t>
              <w:br/>
              <w:t xml:space="preserve"/>
              <w:br/>
              <w:t xml:space="preserve">deze integraal toepassen bij de berekening van de inhoud van een omwentelingslichaam</w:t>
              <w:br/>
              <w:t xml:space="preserve"/>
              <w:br/>
              <w:t xml:space="preserve">deze integraal berekenen in toepassingen in domeinen buiten de wiskunde zoals in de fysica, vulfunctie van een bad…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3 ASO WISKUNDE 6 1 vanaf 2020.pdf</w:t>
      </w:r>
      <w:r w:rsidRPr="003E4776">
        <w:t/>
      </w:r>
    </w:p>
    <w:p w14:paraId="499D1B0A" w14:textId="79267327" w:rsidR="0076163F" w:rsidRDefault="0076163F" w:rsidP="0076163F">
      <w:r w:rsidRPr="003E4776">
        <w:t/>
      </w:r>
      <w:r>
        <w:t>VOORBLAD_wiskunde_3aso 6_1.pdf</w:t>
      </w:r>
      <w:r w:rsidRPr="003E4776">
        <w:t/>
      </w:r>
    </w:p>
    <w:p w14:paraId="499D1B0A" w14:textId="79267327" w:rsidR="0076163F" w:rsidRDefault="0076163F" w:rsidP="0076163F">
      <w:r w:rsidRPr="003E4776">
        <w:t/>
      </w:r>
      <w:r>
        <w:t>Legende instructie rekenmachine.pdf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kan bestaan uit (half)open en gesloten vragen, interpretatie van afbeeldingen, vraagstukken, toepassingen in andere contexten, definities, bewijzen. </w:t>
      </w:r>
    </w:p>
    <w:p>
      <w:pPr>
        <w:jc w:val="both"/>
      </w:pPr>
      <w:r>
        <w:t xml:space="preserve"/>
      </w:r>
    </w:p>
    <w:p>
      <w:pPr>
        <w:jc w:val="both"/>
      </w:pPr>
      <w:r>
        <w:t xml:space="preserve">We leggen het accent op vaardigheden en niet op reproductievragen. Je hoeft geen formules uit het formularium te kunnen bewijzen. Zo zullen we je bijvoorbeeld niet het bewijs van de formules van Simpson vragen . We verwachten wel dat je deze kan toepassen in oefeningen en bewijzen.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	Het examen verloopt volledig schriftelijk.</w:t>
      </w:r>
    </w:p>
    <w:p>
      <w:pPr>
        <w:jc w:val="both"/>
      </w:pPr>
      <w:r>
        <w:t xml:space="preserve">-	Tijdsduur minstens 30 minuten en maximaal 2:30 uur. 3 uur voor kandidaten met een gemotiveerd attest (GA).</w:t>
      </w:r>
    </w:p>
    <w:p>
      <w:pPr>
        <w:jc w:val="both"/>
      </w:pPr>
      <w:r>
        <w:t xml:space="preserve">-	Bij het examen wordt een uitgebreid formularium (zie bijlage) gevoegd.</w:t>
      </w:r>
    </w:p>
    <w:p>
      <w:pPr>
        <w:jc w:val="both"/>
      </w:pPr>
      <w:r>
        <w:t xml:space="preserve">-       Je kan het voorblad van het examen terugvinden in bijlage.</w:t>
      </w:r>
    </w:p>
    <w:p>
      <w:pPr>
        <w:jc w:val="both"/>
      </w:pPr>
      <w:r>
        <w:t xml:space="preserve"/>
      </w:r>
    </w:p>
    <w:p>
      <w:pPr>
        <w:jc w:val="both"/>
      </w:pPr>
      <w:r>
        <w:t xml:space="preserve"/>
      </w:r>
    </w:p>
    <w:p>
      <w:pPr>
        <w:jc w:val="both"/>
      </w:pPr>
      <w:r>
        <w:t xml:space="preserve">Tijdens het examen stellen we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een geodriehoek</w:t>
      </w:r>
    </w:p>
    <w:p>
      <w:pPr>
        <w:jc w:val="both"/>
      </w:pPr>
      <w:r>
        <w:t xml:space="preserve">- kladpapier</w:t>
      </w:r>
    </w:p>
    <w:p>
      <w:pPr>
        <w:jc w:val="both"/>
      </w:pPr>
      <w:r>
        <w:t xml:space="preserve">- een formularium (wiskunde 3 aso 6.1)</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 Voor de open vragen noteer je steeds duidelijk je werkwijze met voldoende tussenstappen.</w:t>
      </w:r>
    </w:p>
    <w:p>
      <w:pPr>
        <w:jc w:val="both"/>
      </w:pPr>
      <w:r>
        <w:t xml:space="preserve">- Gebruik ook steeds de correcte wiskundige notaties.</w:t>
      </w:r>
    </w:p>
    <w:p>
      <w:pPr>
        <w:jc w:val="both"/>
      </w:pPr>
      <w:r>
        <w:t xml:space="preserve">- Hanteer wiskundetaal zoals: </w:t>
      </w:r>
    </w:p>
    <w:p>
      <w:pPr>
        <w:jc w:val="both"/>
      </w:pPr>
      <w:r>
        <w:t xml:space="preserve">  dom f voor domein van een functie, ber f of bld f voor het bereik van een functie;</w:t>
      </w:r>
    </w:p>
    <w:p>
      <w:pPr>
        <w:jc w:val="both"/>
      </w:pPr>
      <w:r>
        <w:t xml:space="preserve">  x, f(x) en/of f'(x) bij een tekentabel of verloopschema, x=... voor een nulwaarde, ...</w:t>
      </w:r>
    </w:p>
    <w:p>
      <w:pPr>
        <w:jc w:val="both"/>
      </w:pPr>
      <w:r>
        <w:t xml:space="preserve">  gebruik van de letters vermeld in de opgave voor een variabele of functie, </w:t>
      </w:r>
    </w:p>
    <w:p>
      <w:pPr>
        <w:jc w:val="both"/>
      </w:pPr>
      <w:r>
        <w:t xml:space="preserve">  vnl. bij vraagstukken, </w:t>
      </w:r>
    </w:p>
    <w:p>
      <w:pPr>
        <w:jc w:val="both"/>
      </w:pPr>
      <w:r>
        <w:t xml:space="preserve">- Daar waar er expliciet naar een antwoord of verklaring gevraagd wordt, formuleer je dit op </w:t>
      </w:r>
    </w:p>
    <w:p>
      <w:pPr>
        <w:jc w:val="both"/>
      </w:pPr>
      <w:r>
        <w:t xml:space="preserve">  een correcte wiskundige manier.</w:t>
      </w:r>
    </w:p>
    <w:p>
      <w:pPr>
        <w:jc w:val="both"/>
      </w:pPr>
      <w:r>
        <w:t xml:space="preserve"/>
      </w:r>
    </w:p>
    <w:p>
      <w:pPr>
        <w:jc w:val="both"/>
      </w:pPr>
      <w:r>
        <w:t xml:space="preserve">Voor de eindevaluatie van wiskunde wordt het gemiddelde gemaakt van wiskunde 3aso 6.1 en wiskunde 3aso 6.2 met gelijke gewichten.</w:t>
      </w:r>
    </w:p>
    <w:p>
      <w:pPr>
        <w:jc w:val="both"/>
      </w:pPr>
      <w:r>
        <w:t xml:space="preserve"/>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componenten van alle vernoemde Functies +  de component Analyse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Integraalrekening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wiskunde 3 aso 6.1 - 50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wiskunde 3 aso 6.1 - 50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w:t>
        <w:br/>
        <w:t xml:space="preserve">De uitgeverij VAN IN en De Boeck worden één bedrijf vanaf 01/04/2017. De uitgaven secundair onderwijs van De Boeck zijn terug te vinden op www.vanin.be</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www.uitgeverijdeboeck.be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5/6</w:t>
              <w:br/>
              <w:t xml:space="preserve">6 en 8 uurs</w:t>
              <w:br/>
              <w:t xml:space="preserve"/>
              <w:br/>
              <w:t xml:space="preserve">Delta Nova 5/6</w:t>
              <w:br/>
              <w:t xml:space="preserve">6 en 8 uurs</w:t>
              <w:br/>
              <w:t xml:space="preserve"/>
              <w:br/>
              <w:t xml:space="preserve">Wiskunde Project 5 en 6</w:t>
              <w:br/>
              <w:t xml:space="preserve">6 en 8 uurs</w:t>
              <w:br/>
              <w:t xml:space="preserve"/>
              <w:br/>
              <w:t xml:space="preserve">Integraal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