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http://www.ond.vlaanderen.be/curriculum/secundair-onderwijs/tweede-graad/index.htm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verwerken en beheersen van de leerinhouden, leerdoelen en opdrachten in deze vakfiche heeft als doel de wetenschappelijke geletterdheid te bevorderen omdat je bijna dagelijks met natuurwetenschappen geconfronteerd wordt.  Denk bijvoorbeeld maar aan het zoeken naar alternatieve energiebronnen omdat fossiele brandstoffen nadelig kunnen zijn voor het milieu en niet onuitputtelijk zijn, de ontwikkeling van nieuwe technische toepassingen zoals nanomaterialen... .  Om dit alles beter te begrijpen en te verklaren is het noodzakelijk om een wetenschappelijke basiskennis te bezitten.  Dit betekent onder meer dat je wetenschappelijke principes, begrippen, symbolen en SI-eenheden in het dagelijks leven kan herkennen, benoemen en actief kan gebruiken.</w:t>
        <w:br/>
        <w:t xml:space="preserve"/>
        <w:br/>
        <w:t xml:space="preserve">Natuurwetenschappelijke kennis heb je ook nodig om verantwoorde en bewuste keuzes te maken.  Hiertoe behoort het veilig en verantwoord omgaan met (gebruiks)stoffen, geluid en straling.  Een beknopte studie van geluid en straling, de bouw en werking van het oog en oor is nodig om de beschermingsmaatregelen tegen gehoor- en stralingsschade te verklaren.. Om de gevaren van stoffen in te schatten moet je in staat zijn productetiketten te interpreteren.</w:t>
        <w:br/>
        <w:t xml:space="preserve"/>
        <w:br/>
        <w:t xml:space="preserve">Wetenschappelijke kennis kan je ook verwerven door proefondervindelijk te werk te gaan.  In de rubriek 'opdrachten' verwachten we dat je een onderzoeksopdracht onder begeleiding uitvoert waarmee je kan aantonen dat je via de wetenschappelijke methode wetenschappelijke kennis kan verwerven.</w:t>
        <w:br/>
        <w:t xml:space="preserve"/>
        <w:br/>
        <w:t xml:space="preserve">Dit kan bijvoorbeeld een simpel experiment zijn dat je moet uitvoeren met eenvoudig materiaal dat je dagdagelijks gebruik. Je moet in staat zijn om de onderzoeksvraag te begrijpen en een verwachting of te verwachten resultaten te formuleren.  Hoe je te werk moet gaan om de opdracht uit te voeren, wordt telkens uitvoerig beschreven.  De waarnemingen van deze opdracht moet je kunnen weergeven in woorden, een tabel en/of grafiek en je moet tevens besluiten kunnen formuleren uit deze waarnemingen. Tijdens het examen krijg je een aantal algemene vragen omtrent deze gevolgde methode. Meer informatie vind je verderop in deze vakfiche.</w:t>
        <w:br/>
        <w:t xml:space="preserve"/>
        <w:br/>
        <w:t xml:space="preserve">Op het examen gaan we ook nagaan of je geïnformeerd bent over duurzame ontwikkeling.. Het is immers belangrijk om verder te kunnen kijken dan de leerinhouden en ook een kritische houding aan te nemen ten opzichte van de impact van wetenschap en techniek op de maatschappij en het dagelijkse leven. Gebeurt alles voldoende verantwoord op ecologisch, ethisch en technisch vlak? Ben je bewust van de eindigheid van het gebruik van grondstoffen, energie of stoffen ? Besef je dat onze manier van leven belastend kan zijn voor het milieu en dat hiervoor alternatieven of oplossingen moeten gezocht worden? Niet alleen wetenschap en techniek moeten goede oplossingen vinden maar ook jij als individu kan je verantwoordelijkheid nemen om bij te dragen tot een duurzame maatschappij.</w:t>
        <w:br/>
        <w:t xml:space="preserve"/>
        <w:br/>
        <w:t xml:space="preserve">Tot slot nog enkele tips over je aanpak bij de voorbereiding van het examen.</w:t>
        <w:br/>
        <w:t xml:space="preserve">Voor jezelf is het belangrijk dat je tijdens de voorbereiding leert om zelfstandig informatie op te zoeken via elektronische media. De bedoeling is wel dat je hier creatief maar ook kritisch mee omgaat. Het is een wetenschappelijke houding om kritische vragen te durven stellen bij de informatie die je aangeboden wordt.  Probeer zo nieuwsgierig mogelijk te blijven; o.a. wetenschappen zijn zo ruim dat er altijd wel iets zou moeten zijn dat je verbazing kan wekken.  Probeer je momenten van zelfstudie efficiënt te benutten; plan je taken en werk met de nodige concentratie en zelfdiscipline.</w:t>
        <w:br/>
        <w:t xml:space="preserve"/>
        <w:br/>
        <w:t xml:space="preserve">De inhoud van deze vakfiche sluit nauw aan bij de eindtermen van de Vlaamse overheid. Deze eindtermen vormen de basis voor onze examens. Zo toetsen we of je de vereiste vaardigheden en competenties voldoende beheerst.</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w:t>
              <w:tab/>
              <w:t>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STOFFEN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MENGSELS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STOFOMZETTINGEN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w:t>
              <w:tab/>
              <w:t>SNELHEID, KRACHT EN DRUK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w:t>
              <w:tab/>
              <w:t>ENERGIE EN VERMOGEN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w:t>
              <w:tab/>
              <w:t>STRALING EN GELUID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HET ATOOMMODEL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het atoommodel van Dalton tot en met Bohr chronologisch weergeven en beschrijven welke kennis van die tijd elk model weerspiegelt</w:t>
              <w:br/>
              <w:t xml:space="preserve"/>
              <w:br/>
              <w:t xml:space="preserve">een atoom beschrijven als een kern met protonen en neutronen met daarrond elektronen</w:t>
              <w:br/>
              <w:t xml:space="preserve"/>
              <w:br/>
              <w:t xml:space="preserve">protonen, neutronen en elektronen situeren in het atoommodel van Bohr</w:t>
              <w:br/>
              <w:t xml:space="preserve"/>
              <w:br/>
              <w:t xml:space="preserve">de massa van een atoom situeren</w:t>
              <w:br/>
              <w:t xml:space="preserve"/>
              <w:br/>
              <w:t xml:space="preserve">een atoom symbolisch voorstellen met atoomnummer (Z) en atoommassa(A)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namen en symbolen:  H  Li  Be  B  C  N  O  F - Na  Mg  Al  Si  P  S  Cl - K  Ca  Cr  Mn  Fe  Co  Ni  Cu Zn  Ge  As  Br - Ag  Cd  Sn  Sb  I - Ba  Pt  Au  Hg  Pb - U  Pu - He  Ne  Ar  Kr  Xe  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naam schrijven indien het symbool gegeven is en het symbool schrijven indien de naam gegeven is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PERIODIEK SYSTEEM DER ELEMENTEN (PSE)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PSE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ordening van elementen volgens massa en volgens eigenschappen in het periodiek systeem (PSE) beschrijven</w:t>
              <w:br/>
              <w:t xml:space="preserve"/>
              <w:br/>
              <w:t xml:space="preserve">metalen, niet-metalen en edelgassen situeren in het PSE</w:t>
              <w:br/>
              <w:t xml:space="preserve"/>
              <w:br/>
              <w:t xml:space="preserve">de elektronenconfiguratie voor elementen met Z ≤ 18 opstellen op basis van het atoomnummer</w:t>
              <w:br/>
              <w:t xml:space="preserve"/>
              <w:br/>
              <w:t xml:space="preserve">voor Z ≤ 18: de elementen op basis van de elektronenconfiguratie een plaats geven in het PSE volgens de indeling: periode, groep, groepsnaam, metalen, niet-metalen en edelgassen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ZUIVERE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stofconstanten:  smelttemperatuur, kooktemperatuur, massadichtheid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zuivere stoffen en mengsels van elkaar onderscheiden op basis van stofconstanten</w:t>
              <w:br/>
              <w:t xml:space="preserve"/>
              <w:br/>
              <w:t xml:space="preserve">de betekenis van stofconstanten beschrijven</w:t>
              <w:br/>
              <w:t xml:space="preserve"/>
              <w:br/>
              <w:t xml:space="preserve">de formule van massadichtheid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temperatuurtijd-diagram bij smelten en koken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diagram van een mengsel en van een zuivere stof met elkaar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m-V-diagram: rechtevenredigheid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van massadichtheid toepassen in oefeningen</w:t>
              <w:br/>
              <w:t xml:space="preserve"/>
              <w:br/>
              <w:t xml:space="preserve">het m-V-diagram interpreteren</w:t>
              <w:br/>
              <w:t xml:space="preserve"/>
              <w:br/>
              <w:t xml:space="preserve">de begrippen 'zwaarder' en 'lichter' in verband brengen met zinken, zweven en drijven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kunstmatige zuivere stof en een natuurlijke zuivere 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kunstmatige en natuurlijke zuivere stoffen beschrijven</w:t>
              <w:br/>
              <w:t xml:space="preserve"/>
              <w:br/>
              <w:t xml:space="preserve">verklaren waarom het kunstmatige of natuurlijke karakter van een zuivere stof geen invloed heeft op haar eigenschappen</w:t>
              <w:br/>
              <w:t xml:space="preserve"/>
              <w:br/>
              <w:t xml:space="preserve">de taalverwarring over het begrip 'chemische stof’ in de wetenschappen en het dagelijkse leven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CHEMISCHE BINDING EN FORMULES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chemische binding: metaalbinding, ionbinding en atoombinding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 drie bindingstypen verklaren als een streven naar de edelgasconfiguratie</w:t>
              <w:br/>
              <w:t xml:space="preserve"/>
              <w:br/>
              <w:t xml:space="preserve">het bindingstype in een molecuul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formules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moleculen en het aantal atomen van een atoomsoort in een molecule of ion schrijven aan de hand van een chemische formule</w:t>
              <w:br/>
              <w:t xml:space="preserve"/>
              <w:br/>
              <w:t xml:space="preserve">enkelvoudige, samengestelde, organische en anorganische stoffen herkennen aan de hand van een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anorganische stoffen: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zuren, zouten, basen en oxiden definiëren</w:t>
              <w:br/>
              <w:t xml:space="preserve"/>
              <w:br/>
              <w:t xml:space="preserve">zuren, zouten, basen en oxiden herkennen op basis van hun structuur</w:t>
              <w:br/>
              <w:t xml:space="preserve"/>
              <w:br/>
              <w:t xml:space="preserve">metaal – en niet-metaaloxiden in verband brengen met hun bindingstype</w:t>
              <w:br/>
              <w:t xml:space="preserve"/>
              <w:br/>
              <w:t xml:space="preserve">het onderscheid tussen zuurvormende en basevormende oxiden toelichten aan de hand van pH-resultaten</w:t>
              <w:br/>
              <w:t xml:space="preserve"/>
              <w:br/>
              <w:t xml:space="preserve">het ontstaan van zouten verklaren als een reactie tussen zuren en basen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 en indicatoren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gebruiksstoffen indelen in zure, basische en neutrale oplossingen op basis van gemeten pH-waarden</w:t>
              <w:br/>
              <w:t xml:space="preserve"/>
              <w:br/>
              <w:t xml:space="preserve">resultaten van indicatoren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duurzaamheidsprincipes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keuzes voor nieuwe of hernieuwbare energiebronnen verantwoorden</w:t>
              <w:br/>
              <w:t xml:space="preserve"/>
              <w:br/>
              <w:t xml:space="preserve">het belang van het zorgzaam omgaan met stoffen verklaren vanuit het duurzaamheidsprincipe en het voorkomen van afval</w:t>
              <w:br/>
              <w:t xml:space="preserve"/>
              <w:br/>
              <w:t xml:space="preserve">het cradle to cradle- principe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en toepassingen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waarneembare eigenschappen van stoffen verklaren door ze in verband te brengen met hun atoombouw en/of hun chemische binding (zie B2)</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MENGSELS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mengsels:  homogeen, heterogeen, een oplossing, een emulsie of suspensie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mengsels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concentratiebegrip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opgeloste stof en het oplosmiddel benoemen in een oplossing</w:t>
              <w:br/>
              <w:t xml:space="preserve"/>
              <w:br/>
              <w:t xml:space="preserve">de concentratie van een oplossing uitdrukken als een hoeveelheid opgeloste stof in een bepaald volume</w:t>
              <w:br/>
              <w:t xml:space="preserve"/>
              <w:br/>
              <w:t xml:space="preserve">de betekenis van massa- en volumeprocent in concrete situaties verklaren</w:t>
              <w:br/>
              <w:t xml:space="preserve"/>
              <w:br/>
              <w:t xml:space="preserve">de concentratie van een oplossing in verband brengen met de gevaren die een stof met zich mee kan 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productetiketten, pictogrammen , H/P-zinnen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pictogrammen op productetiketten herkennen en beschrijven</w:t>
              <w:br/>
              <w:t xml:space="preserve"/>
              <w:br/>
              <w:t xml:space="preserve">het gebruik van een chemische stof in bepaalde situaties kunnen verantwoorden op basis van H/P-zinnen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STOFOMZETTINGEN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wat er tijdens een chemische reactie met de verschillende atomen/moleculen en hierbij het botsingsmodel gebruiken</w:t>
              <w:br/>
              <w:t xml:space="preserve"/>
              <w:br/>
              <w:t xml:space="preserve">de wet van massabehoud tijdens een chemische reactie verklaren</w:t>
              <w:br/>
              <w:t xml:space="preserve"/>
              <w:br/>
              <w:t xml:space="preserve">de coëfficiënten van een chemische reactie vervolledigen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exo- en endo-energetische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als endo- of exo-energetisch aan de hand van gegeven waarnemingen, beeldfragmenten of herkenbare voorbeelden uit het dagelijkse leven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SNELHEID, KRACHT EN DRUK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5.1	SNELHEID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ogenblikkelijke en gemiddelde snelheid aan de hand van een voorbeeld illustreren</w:t>
              <w:br/>
              <w:t xml:space="preserve"/>
              <w:br/>
              <w:t xml:space="preserve">de omzetting maken tussen km/h en m/s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grootte van 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 berekenen van een eenparige rechtlijnige beweging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5.2	KRACHT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kracht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kracht en de effecten van een kracht beschrijven</w:t>
              <w:br/>
              <w:t xml:space="preserve"/>
              <w:br/>
              <w:t xml:space="preserve">de kenmerken van kracht als vector benoemen in concrete voorbeelden</w:t>
              <w:br/>
              <w:t xml:space="preserve"/>
              <w:br/>
              <w:t xml:space="preserve">een kracht voorstellen als een vector ; door de richting, de zin en de grootte te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resulterende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inzien dat twee krachten volgens dezelfde richting kunnen worden samengesteld</w:t>
              <w:br/>
              <w:t xml:space="preserve"/>
              <w:br/>
              <w:t xml:space="preserve">de eerste wet van Newton gebruiken om concrete voorbeelden te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zwaartekracht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zwaartekracht formuleren als het product van massa en zwaartekrachtversnelling</w:t>
              <w:br/>
              <w:t xml:space="preserve"/>
              <w:br/>
              <w:t xml:space="preserve">het verschil tussen massa en zwaartekracht beschrijven met concrete voorbeelden</w:t>
              <w:br/>
              <w:t xml:space="preserve"/>
              <w:br/>
              <w:t xml:space="preserve">de zwaarteveldsterkte definiëren en aangeven dat deze plaatsafhankelijk is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5.3	DRUK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druk via kracht en oppervlakte definiëren</w:t>
              <w:br/>
              <w:t xml:space="preserve"/>
              <w:br/>
              <w:t xml:space="preserve">de grootte van druk met voorbeelden illustreren</w:t>
              <w:br/>
              <w:t xml:space="preserve"/>
              <w:br/>
              <w:t xml:space="preserve">de juiste eenheden i.v.m. druk gebruiken en omzetten naar elkaar: Pa, hPa, bar, mbar</w:t>
              <w:br/>
              <w:t xml:space="preserve"/>
              <w:br/>
              <w:t xml:space="preserve">de factoren opsommen die de druk in een vloeistof bepalen</w:t>
              <w:br/>
              <w:t xml:space="preserve"/>
              <w:br/>
              <w:t xml:space="preserve">de voortplanting van druk op een vloeistof aan de hand van gegeven voorbeelden zoals het remsysteem van een auto, hydraulische persen, een watertoren, een peilglas, een sifon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ENERGIE EN VERMOGEN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 van behoud van energie</w:t>
              <w:br/>
              <w:t xml:space="preserve"/>
              <w:br/>
              <w:t xml:space="preserve">energievormen: elektrische energie, chemische energie, kernenergie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behoudswet van energie formuleren</w:t>
              <w:br/>
              <w:t xml:space="preserve"/>
              <w:br/>
              <w:t xml:space="preserve">de verschillende vormen van energie benoemen</w:t>
              <w:br/>
              <w:t xml:space="preserve"/>
              <w:br/>
              <w:t xml:space="preserve">de verschillende energievormen herkennen in concrete situaties uit het dagelijks leven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vermogen en 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vermogen beschrijven en illustreren met een voorbeeld</w:t>
              <w:br/>
              <w:t xml:space="preserve"/>
              <w:br/>
              <w:t xml:space="preserve">het rendement van een energieomzetting kunnen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duurzame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duurzame energie</w:t>
              <w:br/>
              <w:t xml:space="preserve"/>
              <w:br/>
              <w:t xml:space="preserve">voorbeelden geven van energiebesparende maatregelen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STRALING EN GELUID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7.1	ONDERSCHEID STRALING - GELUID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 en elektromagnetische straling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geluid en elektromagnetische straling onderscheiden van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EM-spectrum: UV-licht, infrarood, radiogolven, microgolven, zichtbaar licht, röntgenstraling, gammastraling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gebieden van het EM spectrum benoemen en met voorbeelden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geluidseigenschappen: toonhoogte en geluidsterkte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geluidseigenschappen onderscheiden en met voorbeelden illustreren</w:t>
              <w:br/>
              <w:t xml:space="preserve"/>
              <w:br/>
              <w:t xml:space="preserve">de betekenis van de eenheid dB voor geluidssterkte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7.2	HET OOR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het oor: oorschelp, gehoorgang, trommelvlies, gehoorbeentjes, buis van Eustachius, slakkenhuis, orgaan van Corti, halfcirkelvormige kanalen, uitwendig oor, middenoor, binnenoor, het orgaan van Corti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macroscopisch waarneembare structuren aanduiden en benoemen op beeldmateriaal en beschrijven</w:t>
              <w:br/>
              <w:t xml:space="preserve"/>
              <w:br/>
              <w:t xml:space="preserve">de microscopische structuren beschrijven, aanduiden en benoemen op beeldmateriaal: geluidsreceptoren (fonoreceptoren) en membranen</w:t>
              <w:br/>
              <w:t xml:space="preserve"/>
              <w:br/>
              <w:t xml:space="preserve">de delen van het orgaan van Corti in verband kunnen brengen met geluidsfrequentie en gehoorproblemen</w:t>
              <w:br/>
              <w:t xml:space="preserve"/>
              <w:br/>
              <w:t xml:space="preserve">de functies van de macroscopische en microscopische structuren van het oor beschrijven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weg dat het geluid aflegt in het oor beschrijven</w:t>
              <w:br/>
              <w:t xml:space="preserve"/>
              <w:br/>
              <w:t xml:space="preserve">verklaren hoe geluidsgolven versterkt worden en hoe geluidsgolven omgezet worden naar  zenuwimpulsen</w:t>
              <w:br/>
              <w:t xml:space="preserve"/>
              <w:br/>
              <w:t xml:space="preserve">aan de hand van voorbeelden beschrijven dat horen een proces is dat in de hersenen gebeurt: selectief horen, coctailparty-effect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bescherming van het 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beschermingsmaatregelen beschrijven om gehoorschade te voorkomen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natuurwetenschappelijke kennis en inzichten verwerven door een eenvoudige probleemstelling of vraagstelling via de natuurwetenschappelijke onderzoeksmethode te benaderen. In de bijlage onder de rubriek  'Opdrachten' vind je de omschrijving van de onderzoeksopdracht.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natuurwetenschappelijke onderzoeksmethoden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Je moet de volgende vragen kunnen beantwoorden</w:t>
              <w:br/>
              <w:t xml:space="preserve"/>
              <w:br/>
              <w:t xml:space="preserve"/>
            </w:r>
          </w:p>
          <w:p>
            <w:pPr>
              <w:pStyle w:val="ListParagraph"/>
              <w:numPr>
                <w:ilvl w:val="0"/>
                <w:numId w:val="8"/>
              </w:numPr>
            </w:pPr>
            <w:r>
              <w:rPr/>
              <w:t xml:space="preserve">wat is volgens jou het probleem of de vraag die onderzocht wordt in je onderzoek?</w:t>
            </w:r>
          </w:p>
          <w:p>
            <w:pPr>
              <w:pStyle w:val="ListParagraph"/>
              <w:numPr>
                <w:ilvl w:val="0"/>
                <w:numId w:val="8"/>
              </w:numPr>
            </w:pPr>
            <w:r>
              <w:rPr/>
              <w:t xml:space="preserve">wat is de hypothese of de verwachting die gesteld wordt?</w:t>
            </w:r>
          </w:p>
          <w:p>
            <w:r>
              <w:rPr/>
              <w:t xml:space="preserve"/>
              <w:br/>
              <w:t xml:space="preserve"/>
              <w:br/>
              <w:t xml:space="preserve"/>
              <w:br/>
              <w:t xml:space="preserve">je moet heel beknopt kunnen weergeven welke stappen je gevolgd hebt bij het onderzoek</w:t>
              <w:br/>
              <w:t xml:space="preserve"/>
              <w:br/>
              <w:t xml:space="preserve">je moet kunnen aangeven welke factoren het waargenomen effect of de meetresultaten zouden kunnen beïnvloed hebben</w:t>
              <w:br/>
              <w:t xml:space="preserve"/>
              <w:br/>
              <w:t xml:space="preserve">we gaan je enkele onderzoeksresultaten weergeven in woorden, of we gaan de meetwaarden in een tabel tonen of in een grafiek. Je moet daarbij de volgende vragen kunnen beantwoorden</w:t>
              <w:br/>
              <w:t xml:space="preserve"/>
              <w:br/>
              <w:t xml:space="preserve"/>
            </w:r>
          </w:p>
          <w:p>
            <w:pPr>
              <w:pStyle w:val="ListParagraph"/>
              <w:numPr>
                <w:ilvl w:val="0"/>
                <w:numId w:val="9"/>
              </w:numPr>
            </w:pPr>
            <w:r>
              <w:rPr/>
              <w:t xml:space="preserve">zijn de resultaten (zoals bvb. in de tabel getoond) aannemelijk of zit er een meetfout in?</w:t>
            </w:r>
          </w:p>
          <w:p>
            <w:pPr>
              <w:pStyle w:val="ListParagraph"/>
              <w:numPr>
                <w:ilvl w:val="0"/>
                <w:numId w:val="9"/>
              </w:numPr>
            </w:pPr>
            <w:r>
              <w:rPr/>
              <w:t xml:space="preserve">is de grafiek ook (ongeveer) het soort grafiek die jij bekomen hebt bij de uitvoering en verwerking thuis?</w:t>
            </w:r>
          </w:p>
          <w:p>
            <w:pPr>
              <w:pStyle w:val="ListParagraph"/>
              <w:numPr>
                <w:ilvl w:val="0"/>
                <w:numId w:val="9"/>
              </w:numPr>
            </w:pPr>
            <w:r>
              <w:rPr/>
              <w:t xml:space="preserve">zie je aan de resultaten of er een storende factor in het spel is (bvb. wrijving, energieverlies onder de vorm van warmte, …)?</w:t>
            </w:r>
          </w:p>
          <w:p>
            <w:r>
              <w:rPr/>
              <w:t xml:space="preserve"/>
              <w:br/>
              <w:t xml:space="preserve"/>
              <w:br/>
              <w:t xml:space="preserve"/>
              <w:br/>
              <w:t xml:space="preserve">we gaan je vragen om de resultaten te 'rapporteren'; je zal dan netjes een besluit moeten formuleren over de gevonden resultaten. Je zal met behulp van een bijgevoegd instructieblad besluiten moeten formuleren. Een vraag daarbij zou kunnen zijn:</w:t>
              <w:br/>
              <w:t xml:space="preserve"/>
              <w:br/>
              <w:t xml:space="preserve"/>
            </w:r>
          </w:p>
          <w:p>
            <w:pPr>
              <w:pStyle w:val="ListParagraph"/>
              <w:numPr>
                <w:ilvl w:val="0"/>
                <w:numId w:val="10"/>
              </w:numPr>
            </w:pPr>
            <w:r>
              <w:rPr/>
              <w:t xml:space="preserve">wordt de hypothese tegengesproken of bevestigd? Waarom?</w:t>
            </w:r>
          </w:p>
          <w:p>
            <w:r>
              <w:rPr/>
              <w:t xml:space="preserve"/>
              <w:br/>
              <w:t xml:space="preserve"/>
              <w:br/>
              <w:t xml:space="preserve"/>
              <w:br/>
              <w:t xml:space="preserve">eventueel gaan we jou bijkomende informatie geven uit een wetenschappelijk artikel. We zouden dan bijvoorbeeld kunnen vragen wat de verschilpunten zijn tussen jouw proefje en de informatie uit het artikel.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voert voor dit vak een onderzoeksopdracht uit. Je vindt de opdracht hier als bijlage. </w:t>
        <w:br/>
        <w:t>Maak het verslag van de onderzoeksopdracht in het sjabloon in bijlage 2. Maak een pdf van het verslag en sla het op met volgende naam: </w:t>
        <w:br/>
        <w:t>- datum examen (jaar, maand, dag) </w:t>
        <w:br/>
        <w:t>- jouw naam en voornaam </w:t>
        <w:br/>
        <w:t>- NAT2KT </w:t>
      </w:r>
    </w:p>
    <w:p>
      <w:pPr>
        <w:jc w:val="both"/>
      </w:pPr>
      <w:r>
        <w:t xml:space="preserve">Laad de pdf ten laatste 7 dagen voor het examen op in het EC-platform. </w:t>
      </w:r>
    </w:p>
    <w:p>
      <w:pPr>
        <w:jc w:val="both"/>
      </w:pPr>
      <w:r>
        <w:t xml:space="preserve">Voorbeeld: Je hebt op maandag 21 januari 2019 examen. Je laadt je verslag ten laatste op zondag 13 januari 2019 om 23u59 op. </w:t>
        <w:br/>
        <w:t>Het bestand heeft dan als naam: 20190121_JanssensJan_NAT2KT</w:t>
        <w:br/>
        <w:t/>
      </w:r>
      <w:r w:rsidRPr="003E4776">
        <w:t/>
      </w:r>
    </w:p>
    <w:p w14:paraId="5B5E3ED3" w14:textId="0FE7D0D3" w:rsidR="0076163F" w:rsidRDefault="0076163F" w:rsidP="0076163F">
      <w:r w:rsidRPr="003E4776">
        <w:t/>
      </w:r>
      <w:r>
        <w:t>bijlage 1 - onderzoeksopdracht 2KT.pdf</w:t>
      </w:r>
      <w:r w:rsidRPr="003E4776">
        <w:t/>
      </w:r>
    </w:p>
    <w:p w14:paraId="5B5E3ED3" w14:textId="0FE7D0D3" w:rsidR="0076163F" w:rsidRDefault="0076163F" w:rsidP="0076163F">
      <w:r w:rsidRPr="003E4776">
        <w:t/>
      </w:r>
      <w:r>
        <w:t>bijlage 2 - verslag onderzoeksopdracht 2KT.docx</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NAT2KT digitaal examen.pdf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2aso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Het examen bestaat uit verschillende delen:</w:t>
      </w:r>
    </w:p>
    <w:p>
      <w:pPr>
        <w:jc w:val="both"/>
      </w:pPr>
      <w:r>
        <w:t xml:space="preserve"/>
      </w:r>
    </w:p>
    <w:p>
      <w:pPr>
        <w:jc w:val="both"/>
      </w:pPr>
      <w:r>
        <w:t xml:space="preserve">Je begint met het eerste deel. Dit bevat vragen over de onderzoeksopdrachten. Je hebt maximaal 15 minuten om deze vragen te beantwoorden. Je kunt niet terugkeren naar dit onderdeel. Volg hiervoor de instructies op het scherm.</w:t>
      </w:r>
    </w:p>
    <w:p>
      <w:pPr>
        <w:jc w:val="both"/>
      </w:pPr>
      <w:r>
        <w:t xml:space="preserve"/>
      </w:r>
    </w:p>
    <w:p>
      <w:pPr>
        <w:jc w:val="both"/>
      </w:pPr>
      <w:r>
        <w:t xml:space="preserve">Daarna ga je verder met de rest van het examen.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 </w:t>
      </w:r>
    </w:p>
    <w:p>
      <w:pPr>
        <w:jc w:val="both"/>
      </w:pPr>
      <w:r>
        <w:t xml:space="preserve">Er is een eenvoudige rekenmachine beschikbaar op het examen (op de computer).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w:t>
      </w:r>
    </w:p>
    <w:p>
      <w:pPr>
        <w:jc w:val="both"/>
      </w:pPr>
      <w:r>
        <w:t xml:space="preserve">kladpapier</w:t>
      </w:r>
    </w:p>
    <w:p>
      <w:pPr>
        <w:jc w:val="both"/>
      </w:pPr>
      <w:r>
        <w:t xml:space="preserve">de formularia die je vindt als bijlagen in de vakfiche.</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Stoffen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Mengsels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Snelheid, kracht en druk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 en vermogen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Straling en geluid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Natuurweten-schappen-T</w:t>
              <w:br/>
              <w:t xml:space="preserve"/>
              <w:br/>
              <w:t xml:space="preserve">Synergie</w:t>
              <w:br/>
              <w:t xml:space="preserve"/>
              <w:br/>
              <w:t xml:space="preserve">Elementair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Poster Big ideas, Great science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 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 klantendienst@plantyn.be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