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natuurwetenschappen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2022 tot en met 31 december  2022</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http://www.ond.vlaanderen.be/curriculum/secundair-onderwijs/tweede-graad/index.htm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Je wordt immers bijna dagelijks geconfronteerd met natuurwetenschappen. Denk bijvoorbeeld maar aan:</w:t>
      </w:r>
    </w:p>
    <w:p>
      <w:r>
        <w:rPr/>
        <w:t xml:space="preserve">&amp;raquo;       de voor- en nadelen van het gebruik van antibiotica,</w:t>
      </w:r>
    </w:p>
    <w:p>
      <w:r>
        <w:rPr/>
        <w:t xml:space="preserve">&amp;raquo;       het gebruik van pesticiden en de gevolgen voor het milieu,</w:t>
      </w:r>
    </w:p>
    <w:p>
      <w:r>
        <w:rPr/>
        <w:t xml:space="preserve">&amp;raquo;       het zoeken naar alternatieve energiebronnen...</w:t>
      </w:r>
    </w:p>
    <w:p>
      <w:r>
        <w:rPr/>
        <w:t xml:space="preserve">Deze voorbeelden tonen aan dat je wetenschappelijke kennis kan verwerven door te vertrekken van de wereld rondom jou en proefondervindelijk te werk te gaan. Als voorbereiding op het examen zal je daarom een onderzoeksopdracht moeten uitvoeren. Dit kan bijvoorbeeld een terreinwaarneming zijn waarbij je organismen moet verzamelen en/of bestuderen, een simpel experiment uitvoeren met eenvoudig materiaal dat je dagdagelijks gebruik. Je moet in staat zijn om de onderzoeksvraag te begrijpen en een verwachting of te verwachten resultaten te formuleren.  Hoe je te werk moet gaan om de opdracht uit te voeren, wordt telkens uitvoerig beschreven.  De waarnemingen van deze opdracht moet je kunnen weergeven in woorden, een tabel en/of grafiek en je moet tevens besluiten kunnen formuleren uit deze waarnemingen. Tijdens het examen krijg je een aantal algemene vragen omtrent deze gevolgde methode. Meer informatie vind je verderop in deze vakfiche.</w:t>
      </w:r>
    </w:p>
    <w:p>
      <w:r>
        <w:rPr/>
        <w:t xml:space="preserve">Om de realiteit onderzoekend te benaderen, te begrijpen en te verklaren, moet je wel voldoende vaardigheden beheersen en voldoende wetenschappelijke basiskennis hebben. Dat betekent dat je wetenschappelijke principes, begrippen, symbolen en SI-eenheden in het dagelijkse leven kan herkennen, benoemen en actief gebruiken. Op het examen moet je hierover vragen beantwoorden.</w:t>
      </w:r>
    </w:p>
    <w:p>
      <w:r>
        <w:rPr/>
        <w:t xml:space="preserve">Natuurwetenschappelijke kennis heb je bovendien ook nodig om verantwoorde en bewuste keuzes te maken, bijvoorbeeld om veilig en verantwoord om te gaan met (gebruiks)stoffen, geluid en straling. Zo is het belangrijk om in te zien dat geluidsoverlast niet alleen schadelijk is voor je eigen gezondheid maar ook voor anderen, dat het gebruik van onderhoudsproducten gevaren kunnen inhouden. Productetiketten interpreteren i s dan ook een onderdeel van het examen.</w:t>
      </w:r>
    </w:p>
    <w:p>
      <w:r>
        <w:rPr/>
        <w:t xml:space="preserve">Op het examen gaan we ook na of je geïnformeerd bent over duurzame ontwikkeling. Het is immers belangrijk om verder te kunnen kijken dan de leerinhouden en ook een kritische houding aan te nemen ten opzichte van de impact van wetenschap en techniek op de maatschappij en het dagelijkse leven. Gebeurt alles voldoende verantwoord op ecologisch, ethisch en technisch vlak? Ben je bewust van de eindigheid van het gebruik van grondstoffen, energie of stoffen ? Besef je dat onze manier van leven belastend kan zijn voor het milieu en dat hiervoor alternatieven of oplossingen moeten gezocht worden? Niet alleen wetenschap en techniek moeten goede oplossingen vinden maar ook jij als individu kan je verantwoordelijkheid nemen om bij te dragen tot een duurzame maatschappij.</w:t>
      </w:r>
    </w:p>
    <w:p>
      <w:r>
        <w:rPr/>
        <w:t xml:space="preserve">Tot slot nog enkele tips over je aanpak bij de voorbereiding van het examen.</w:t>
        <w:br/>
        <w:t xml:space="preserve">Voor jezelf is het belangrijk dat je tijdens de voorbereiding leert om zelfstandig informatie op te zoeken via elektronische media. De bedoeling is wel dat je hier creatief maar ook kritisch mee omgaat. Het is een wetenschappelijke houding om kritische vragen te durven stellen bij de informatie die je aangeboden wordt.  Probeer zo nieuwsgierig mogelijk te blijven; o.a. wetenschappen zijn zo ruim dat er altijd wel iets zou moeten zijn dat je verbazing kan wekken.  Probeer je momenten van zelfstudie efficiënt te benutten; plan je taken en werk met de nodige concentratie en zelfdiscipline</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LEVEN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Materie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SNELHEID en KRACHT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MATERIE en DRUK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ENERGIE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ONDERZOEKSVRAAG</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LEVEN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In stand houden van het leven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1.1.1	ALGEMEEN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prikkel, reactie, receptor, effector, conductor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gegeven voorbeelden</w:t>
              <w:br/>
              <w:t xml:space="preserve"/>
              <w:br/>
              <w:t xml:space="preserve">bewegingen en kliersecreties als reacties op prikkels herkennen</w:t>
              <w:br/>
              <w:t xml:space="preserve"/>
              <w:br/>
              <w:t xml:space="preserve">de noodzaak van reacties op prikkels en van het belang van zintuigen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prikkels: fysisch, chemisch, inwendig, uitwendig, mechanisch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prikkels en reacties op die prikkels classificeren vanuit waarnemingen zoals filmpjes of afbeeldingen,…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1.1.2	HET OOG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en de begrippen: wenkbrauw, ooglid, wimpers, traanklieren, traankanalen, pupil, iris, harde oogvlies, oogspieren, straallichaam, vaatvlies, netvlies, rechte spieren, schuine spieren, lensbandjes, voorste oogkamer, achterste oogkamer, staafjes en kegeltjes, gele vlek en blinde vlek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macroscopische en microscopische structuren van het oog herkennen en benoemen op beeldmateriaal en deze ook beschrijven</w:t>
              <w:br/>
              <w:t xml:space="preserve"/>
              <w:br/>
              <w:t xml:space="preserve">de functies van de macroscopische en microscopische structuren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oog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beeldvorming, accommodatie, pupilreflex en lichtgevoeligheid verklaren op basis van filmpjes of afbeeldingen</w:t>
              <w:br/>
              <w:t xml:space="preserve"/>
              <w:br/>
              <w:t xml:space="preserve">verziendheid en bijziendheid herkennen en beschrijven in afbeeldingen van de beeldvorming in het oog[1]</w:t>
              <w:br/>
              <w:t xml:space="preserve"/>
              <w:br/>
              <w:t xml:space="preserve">het gebruik van contactlenzen en een bril om oogafwijkingen te corrigeren verklaren</w:t>
              <w:br/>
              <w:t xml:space="preserve"/>
              <w:br/>
              <w:t xml:space="preserve">het principe van positieve en negatieve nawerking beschrijven</w:t>
              <w:br/>
              <w:t xml:space="preserve"/>
              <w:br/>
              <w:t xml:space="preserve">het principe van dieptezicht (stereoscopische zicht) en optische illusies beschrijven</w:t>
              <w:br/>
              <w:t xml:space="preserve"> </w:t>
              <w:br/>
              <w:t xml:space="preserve">[1]het verklaren van verziendheid en bijziendheid met stralengangen: zie 'licht en straling'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1.1.3	HET OOR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macroscopisch en microscopische bouw en de begrippen: oorschelp, gehoorgang, trommelvlies, gehoorbeentjes, buis van Eustachius, slakkenhuis, orgaan van Corti, halfcirkelvormige kanalen, uitwendig oor, middenoor, binnenoor, geluidsreceptoren (fonoreceptoren) en membranen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macroscopische structuren van het oor herkennen en benoemen op afbeeldingen en deze ook  beschrijven</w:t>
              <w:br/>
              <w:t xml:space="preserve"/>
              <w:br/>
              <w:t xml:space="preserve">het orgaan van Corti op microscopisch niveau beschrijven en de microscopische structuren herkennen en benoemen op afbeeldingen</w:t>
              <w:br/>
              <w:t xml:space="preserve"/>
              <w:br/>
              <w:t xml:space="preserve">het evenwichtsorgaan met evenwichtsreceptoren herkennen, benoemen en beschrijven</w:t>
              <w:br/>
              <w:t xml:space="preserve"/>
              <w:br/>
              <w:t xml:space="preserve">de functies van de macroscopische en microscopische structuren van het oor beschrijven, herkennen en benoemen</w:t>
              <w:br/>
              <w:t xml:space="preserve"/>
              <w:br/>
              <w:t xml:space="preserve">de functie van de evenwichtsorganen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op welke manier het statisch en dynamisch evenwicht in het oor geregistreerd wordt</w:t>
              <w:br/>
              <w:t xml:space="preserve"/>
              <w:br/>
              <w:t xml:space="preserve">de weg die het geluid aflegt in het oor beschrijven en verklaren welke functies de verschillende structuren hierin vervullen, hoe het geluidsgolven versterkt worden en hoe geluidsgolven omgezet worden naar zenuwimpulsen</w:t>
              <w:br/>
              <w:t xml:space="preserve"/>
              <w:br/>
              <w:t xml:space="preserve">aan de hand van voorbeelden beschrijven dat horen een proces is dat in de hersenen gebeurt: selectief horen, cocktailparty-effect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1.1.4	ZINTUIGLIJKE STOORNISSEN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doofheid, gehoorschade, tinnitus, zeekziekte, wagenziekte, cataract, glaucoom, ouderverziendheid, lui oog, nachtblindheid, astigmatisme, kleurenblindheid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zintuiglijke stoornissen verklaren en illustreren hoe deze vermeden kunnen worden</w:t>
              <w:br/>
              <w:t xml:space="preserve"/>
              <w:br/>
              <w:t xml:space="preserve">de werking van een bionisch oor (cochleair implantaat) en het bionisch oog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1.1.5	SPIEREN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met de begrippen: spierschede, pezen, spierbundel, spiervezel, spierfibrillen, sarcomeer, actine en myosine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macroscopische en microscopische bouw van dwarsgestreepte en gladde spieren beschrijven</w:t>
              <w:br/>
              <w:t xml:space="preserve"/>
              <w:br/>
              <w:t xml:space="preserve">de macroscopsiche en microscopische structuren herkennen en benoemen op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spieren: skeletspieren, huidspieren, kringspieren, glad spierweefsel, dwarsgestreept spierweefsel, willekeurige en onwillekeurige spieren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spieren herkennen en benoemen</w:t>
              <w:br/>
              <w:t xml:space="preserve"/>
              <w:br/>
              <w:t xml:space="preserve">de bouw van verschillende soorten spieren vergelijken</w:t>
              <w:br/>
              <w:t xml:space="preserve"/>
              <w:br/>
              <w:t xml:space="preserve">gladde en dwarsgestreepte spieren in het lichaam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spieren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dwarsgestreepte spieren beschrijven aan de hand van afbeeldingen</w:t>
              <w:br/>
              <w:t xml:space="preserve"/>
              <w:br/>
              <w:t xml:space="preserve">de werking van gladde spieren beschrijven</w:t>
              <w:br/>
              <w:t xml:space="preserve"/>
              <w:br/>
              <w:t xml:space="preserve">het onderscheid in werking tussen dwarsgestreepte en gladde spieren, willekeurige en onwillekeurige spieren beschrijven</w:t>
              <w:br/>
              <w:t xml:space="preserve"/>
              <w:br/>
              <w:t xml:space="preserve">de antagonistische werking van spieren beschrijven</w:t>
              <w:br/>
              <w:t xml:space="preserve"/>
              <w:br/>
              <w:t xml:space="preserve">de rol van het skelet bij spierbeweging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1.1.6	HET SKELET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skelet met de voornaamste beenderen: schedelbeenderen, wervelkolom, ribben, borstbeen, schouderblad, sleutelbeen, heupbeenderen, beenderen van armen en benen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afbeeldingen de gegeven beenderen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gewrichten: scharnier-, kogel-, zadel, rol-, en draaigewricht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afbeeldingen de verschillende delen van een gewricht herkennen, benoemen en beschrijven</w:t>
              <w:br/>
              <w:t xml:space="preserve"/>
              <w:br/>
              <w:t xml:space="preserve">voorbeelden geven van de verschillende soorten gewrichten in het menselijk lichaam</w:t>
              <w:br/>
              <w:t xml:space="preserve"/>
              <w:br/>
              <w:t xml:space="preserve">de bewegingsmogelijkheden van de verschillende soorten gewrichten interpreteren op afbeeldingen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1.1.7	HET HORMONAAL STELSEL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endocriene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macroscopische en microscopische bouw van endocriene klieren beschrijven</w:t>
              <w:br/>
              <w:t xml:space="preserve"/>
              <w:br/>
              <w:t xml:space="preserve">de macroscopische en microscopische verschillen tussen endocriene en exocriene klieren herkennen op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hormonen en hun endocriene klieren:</w:t>
              <w:br/>
              <w:t xml:space="preserve">testosteron, oestrogeen, FSH, LH, groeihormonen, schildklierhormonen, insuline, glucagon, EPO, prolactine</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endocriene hormonale klieren van de gegeven hormonen situeren in het menselijk lichaam</w:t>
              <w:br/>
              <w:t xml:space="preserve"/>
              <w:br/>
              <w:t xml:space="preserve">de functie van endocriene klieren beschrijven</w:t>
              <w:br/>
              <w:t xml:space="preserve"/>
              <w:br/>
              <w:t xml:space="preserve">het effect of de functie van deze hormonen in het menselijk lichaam beschrijven</w:t>
              <w:br/>
              <w:t xml:space="preserve"/>
              <w:br/>
              <w:t xml:space="preserve">de begrippen excretie, secretie en hormonen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1.1.8	HET ZENUWSTELSEL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centrale zenuwstelsel en het perifere zenuwstelsel, het autonoom en animaal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afbeeldingen het centrale zenuwstelsel en het perifere zenuwstelsel herkennen en benoemen</w:t>
              <w:br/>
              <w:t xml:space="preserve"/>
              <w:br/>
              <w:t xml:space="preserve">de verschillende delen van het centrale zenuwstelsel en perifere zenuwstelsel opsommen</w:t>
              <w:br/>
              <w:t xml:space="preserve"/>
              <w:br/>
              <w:t xml:space="preserve">het verschil tussen autonoom en animaal zenuwstelsel beschrijven</w:t>
              <w:br/>
              <w:t xml:space="preserve"/>
              <w:br/>
              <w:t xml:space="preserve">in gegeven voorbeelden reacties van  het autonoom en animaal zenuwstelsel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hersenen en de begrippen: </w:t>
              <w:br/>
              <w:t xml:space="preserve">grote hersenen met hersenschors (cortex) – thalamus – hypothalamus - hersenbalk, kleine hersenen, hersenstam, primaire en secundaire centra, sensorische en motorische centra, spraak- gezichts- en gehoorcentrum, het limbisch systeem</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afbeeldingen de gegeven structuren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hersenen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functies van de hersenstructuren en –delen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ruggenmerg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afbeeldingen van een dwarsdoorsnede van het ruggenmerg de delen met in- en uittredende zenuwen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zenuwcellen en de begrippen: </w:t>
              <w:br/>
              <w:t xml:space="preserve">dendrieten, cellichaam, axon, myelineschede, cellen van Schwann, gliacellen, knopen van Ranvier,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afbeeldingen de gegeven delen van een zenuwcel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zenuwcellen: motorisch-, sensorisch- en schakelneuron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zenuwcellen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zenuwcellen en de begrippen neurotransmitter, synaps, actiepotentiaal, elektrische prikkel, chemische prikkel, reflex en gewilde beweging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richting van impulsoverdracht aanduiden en herkennen op afbeeldingen</w:t>
              <w:br/>
              <w:t xml:space="preserve"/>
              <w:br/>
              <w:t xml:space="preserve">de signaaloverdracht tussen zenuwcellen verklaren aan de hand van een figuur</w:t>
              <w:br/>
              <w:t xml:space="preserve"/>
              <w:br/>
              <w:t xml:space="preserve">het principe van de reflexboog beschrijven</w:t>
              <w:br/>
              <w:t xml:space="preserve"/>
              <w:br/>
              <w:t xml:space="preserve">de gevolgde weg van een zenuwimpuls bij een ongewilde (reflex) en gewilde beweging herkennen, aanduiden en beschrijven op afbeeldingen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1.1.9	NEURALE EN HORMONALE STOORNISSEN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gezichtsstoornissen, ziekte van Parkinson, diabetes, multiple scleros, epilepsie, stoornissen die voortvloeien uit alcohol- en drugsmisbruik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neurale en hormonale stoornissen verklaren en illustreren hoe deze eventueel vermeden of opgelost kunnen worden:</w:t>
              <w:br/>
              <w:t xml:space="preserve"/>
              <w:br/>
              <w:t xml:space="preserve">het verband leggen tussen hersenletsels en de functie van de verschillende hersendelen – en structuren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1.1.10	COÖRDINATIE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homeostatische functie van de pancreas, adrenaline-afscheiding bij stress, melkproductie bij het zuigen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homeostatische functie van de pancreas verklaren</w:t>
              <w:br/>
              <w:t xml:space="preserve"/>
              <w:br/>
              <w:t xml:space="preserve">het begrip homeostase actief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samenhang tussen het zenuwstelsel en het endocrien stelsel verklaren en schematisch voorstellen aan de hand van de gegeven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Soorten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1.2.1	TERREINSTUDIE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Deze terreinstudie is een opstap voor de leerinhouden 'classificatie' en 'interacties tussen organismen en omgeving'. Het is belangrijk dat je deze terreinstudie uitvoert zoals beschreven in de rubriek 'Opdrachten'. Probeer daarbij een onderzoekende en nieuwsgierige houding aan te nemen.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abundantie, bedekkingsgraad, determineren, verspreidingsgraad, transect, biotische index, bio-indicator, systematische eenheden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deze begrippen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1.2.2	CLASSIFICATIE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vijfrijkensysteem van Whittaker: </w:t>
              <w:br/>
              <w:t xml:space="preserve">plantenrijk, dierenrijk, zwammenrijk, monera- of prokaryotenrijk, protistenrijk</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vijfrijken opsommen en de criteria geven waarop deze indeling gebaseerd is</w:t>
              <w:br/>
              <w:t xml:space="preserve"/>
              <w:br/>
              <w:t xml:space="preserve">organismen indelen in het vijfrijkensysteem aan de hand van afbeeldingen</w:t>
              <w:br/>
              <w:t xml:space="preserve"/>
              <w:br/>
              <w:t xml:space="preserve">aan de hand van afbeeldingen volgende organismen onderscheiden van mekaar en het onderscheid verwoorden: ééncelligen en meercelligen, prokaryoten en eukaryoten, autotroof en heterotroof</w:t>
              <w:br/>
              <w:t xml:space="preserve"/>
              <w:br/>
              <w:t xml:space="preserve">de binominale naamgeving herkennen en toepassen op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drie domeinen: archeae, bacteria en eukaryoten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organismen indelen in deze drie domeinen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micro-organismen: pantoffeldiertjes, gistcellen, amoeben, wieren (Volvox), kiezelwieren (diatomeeën), virussen en 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groepen van micro-organismen herkennen aan de hand van microscopische afbeeldingen</w:t>
              <w:br/>
              <w:t xml:space="preserve"/>
              <w:br/>
              <w:t xml:space="preserve">de systematische plaats van virussen in dit classificatiesysteem verklaren</w:t>
              <w:br/>
              <w:t xml:space="preserve"/>
              <w:br/>
              <w:t xml:space="preserve">de bouw en de voortplanting van virussen en bacteriën beschrijven en herkennen in afbeeldingen</w:t>
              <w:br/>
              <w:t xml:space="preserve"/>
              <w:br/>
              <w:t xml:space="preserve">kenmerken beschrijven waardoor zwammen en bacteriën zich onderscheiden van planten en dieren</w:t>
              <w:br/>
              <w:t xml:space="preserve"/>
              <w:br/>
              <w:t xml:space="preserve">voorbeelden geven en herkennen van het belang van micro-organismen in de natuur</w:t>
              <w:br/>
              <w:t xml:space="preserve"/>
              <w:br/>
              <w:t xml:space="preserve">voorbeelden geven en herkennen van de invloed van bacteriën, virussen, schimmels, gisten en parasieten op de menselijke gezondheid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afdelingen in het plantenrijk: bedektzadige planten, naaktzadige planten, mosplanten, varenplanten, groenwieren, bruinwieren en roodwieren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planten herkennen en indelen in de belangrijkste afdelingen aan de hand van afbeeldingen</w:t>
              <w:br/>
              <w:t xml:space="preserve"/>
              <w:br/>
              <w:t xml:space="preserve">de bedektzadige planten indelen in familie, geslacht en soort aan de hand van dichotomische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stammen in het dierenrijk:  chordadieren, geleedpotigen, weekdieren, platwormen, gelede wormen, rondwormen, stekelhuidigen, sponzen</w:t>
              <w:br/>
              <w:t xml:space="preserve"/>
              <w:br/>
              <w:t xml:space="preserve">klassen bij de chordadieren:  amfibieën, vissen, reptielen, vogels, zoogdieren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dieren classificeren volgens de gegeven stammen aan de hand van afbeeldingen</w:t>
              <w:br/>
              <w:t xml:space="preserve"/>
              <w:br/>
              <w:t xml:space="preserve">chordadieren classificeren in klassen aan de hand van afbeeldingen</w:t>
              <w:br/>
              <w:t xml:space="preserve"/>
              <w:br/>
              <w:t xml:space="preserve">stammen van ongewervelden en klassen van chordadieren classificeren in lagere taxonomische niveaus aan de hand van dichotomische tabellen.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Interacties tussen organismen en omgeving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1.3.1	ECOSYSTEEM</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biotische factoren en abiotische factoren, habitat, ecologische niche, biotoop, levensgemeenschap, ecosysteem, populatie, ecologie, successie, climax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Gebruik je waarnemingen en gegevens uit de terreinstudie om te verklaren:</w:t>
            </w:r>
          </w:p>
          <w:p>
            <w:pPr>
              <w:pStyle w:val="ListParagraph"/>
              <w:numPr>
                <w:ilvl w:val="0"/>
                <w:numId w:val="8"/>
              </w:numPr>
            </w:pPr>
            <w:r>
              <w:rPr/>
              <w:t xml:space="preserve">hoe de dynamiek van een ecosysteem evolueert van primair naar climax</w:t>
            </w:r>
          </w:p>
          <w:p>
            <w:pPr>
              <w:pStyle w:val="ListParagraph"/>
              <w:numPr>
                <w:ilvl w:val="0"/>
                <w:numId w:val="8"/>
              </w:numPr>
            </w:pPr>
            <w:r>
              <w:rPr/>
              <w:t xml:space="preserve">welke factoren de dynamiek van een ecosysteem beïnvloeden</w:t>
            </w:r>
          </w:p>
          <w:p>
            <w:pPr>
              <w:pStyle w:val="ListParagraph"/>
              <w:numPr>
                <w:ilvl w:val="0"/>
                <w:numId w:val="8"/>
              </w:numPr>
            </w:pPr>
            <w:r>
              <w:rPr/>
              <w:t xml:space="preserve">welk verband bestaat tussen de aanwezige abiotische factoren en de organismen die er voorkomen</w:t>
            </w:r>
          </w:p>
          <w:p>
            <w:pPr>
              <w:pStyle w:val="ListParagraph"/>
              <w:numPr>
                <w:ilvl w:val="0"/>
                <w:numId w:val="8"/>
              </w:numPr>
            </w:pPr>
            <w:r>
              <w:rPr/>
              <w:t xml:space="preserve">op welke manier organismen het milieu beïnvloeden</w:t>
            </w:r>
          </w:p>
          <w:p>
            <w:pPr>
              <w:pStyle w:val="ListParagraph"/>
              <w:numPr>
                <w:ilvl w:val="0"/>
                <w:numId w:val="8"/>
              </w:numPr>
            </w:pPr>
            <w:r>
              <w:rPr/>
              <w:t xml:space="preserve">op welke manier het milieu invloed uitoefent op de organismen</w:t>
            </w:r>
          </w:p>
          <w:p>
            <w:pPr>
              <w:pStyle w:val="ListParagraph"/>
              <w:numPr>
                <w:ilvl w:val="0"/>
                <w:numId w:val="8"/>
              </w:numPr>
            </w:pPr>
            <w:r>
              <w:rPr/>
              <w:t xml:space="preserve">hoe organismen zich aanpassen aan hun omgeving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1.3.2	INTERACTIES TUSSEN ORGANISMEN VAN DEZELFDE SOORT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groepsvorming: paarvorming, grote groepen, sociale staat, kudde, tijdelijk, blijvend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en nadelen van groepsvorming verklaren in gegeven voorbeelden</w:t>
              <w:br/>
              <w:t xml:space="preserve"/>
              <w:br/>
              <w:t xml:space="preserve">verschillende soorten groepsvormingen herkennen in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communicatie: chemisch, tactiel, auditief en visueel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communicatie binnen een groep verklaren aan de hand van voorbeelden</w:t>
              <w:br/>
              <w:t xml:space="preserve"/>
              <w:br/>
              <w:t xml:space="preserve">de verschillende soorten communicatiemogelijkheden binnen een groep classificeren in gegeven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aangeboren en aangeleerd gedrag: gewenning, inprenting, conditionering, imitatie, inzicht, trial and error/proefondervindelijk, herhaling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aangeboren en aangeleerd gedrag onderscheiden in voorbeelden</w:t>
              <w:br/>
              <w:t xml:space="preserve"/>
              <w:br/>
              <w:t xml:space="preserve">de conditioneringsproeven van Pavlov, Skinner en de inprentingsproeven van Lorenz herkennen</w:t>
              <w:br/>
              <w:t xml:space="preserve"/>
              <w:br/>
              <w:t xml:space="preserve">deze leerprocessen classificeren in gegeven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1.3.3	INTERACTIES TUSSEN ORGANISMEN VAN VERSCHILLENDE SOORT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predatie, concurrentie, parasitisme, mutualisme, coöperatie, predatie en commensalisme, amensalisme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interacties tussen organismen herkennen en benoemen in gegeven ecosystemen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producenten, consumenten en reducenten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 van producenten, consumenten en reducenten beschrijven</w:t>
              <w:br/>
              <w:t xml:space="preserve"/>
              <w:br/>
              <w:t xml:space="preserve">de relatie tussen producenten, consumenten en reducenten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energie-en materiekringlopen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koolstofkringlopen en stikstofkringlopen beschrijven aan de hand van gegeven afbeeldingen</w:t>
              <w:br/>
              <w:t xml:space="preserve"/>
              <w:br/>
              <w:t xml:space="preserve">energiepiramides en biomassapiramides interpreteren</w:t>
              <w:br/>
              <w:t xml:space="preserve"/>
              <w:br/>
              <w:t xml:space="preserve">voedselketens en voedselwebben opstellen en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1.3.4	BIODIVERSITEIT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biodiversiteit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biodiversiteit verklaren in een ecosysteem</w:t>
              <w:br/>
              <w:t xml:space="preserve"/>
              <w:br/>
              <w:t xml:space="preserve">voorbeelden geven of uit voorbeelden afleiden hoe de mens de biodiversiteit van een ecosysteem kan beïnvloeden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Materie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Deeltjesmodel</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2.1.1	NAMEN EN SYMBOLEN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namen en symbolen: H Li Be B C N O F - Na Mg Al Si P S Cl - K Ca Cr Mn Fe Co Ni Cu Zn Ge As Br - Ag Cd Sn Sb I - Ba Pt Au Hg Pb - U Pu - He Ne Ar Kr Xe Rn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atoom, molecule of ion aan de hand van een chemische formule</w:t>
              <w:br/>
              <w:t xml:space="preserve"/>
              <w:br/>
              <w:t xml:space="preserve">de naam en de symbolische voorstelling van de belangrijkste elementen 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2.1.2	HET ATOOMMODEL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atoom, de relatieve massa en lading van protonen, neutronen en 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het atoommodel van Dalton tot en met Bohr beschrijven en in chronologische volgorde plaatsen</w:t>
              <w:br/>
              <w:t xml:space="preserve"/>
              <w:br/>
              <w:t xml:space="preserve">protonen, neutronen en elektronen situeren in het atoommodel van Bohr</w:t>
              <w:br/>
              <w:t xml:space="preserve"/>
              <w:br/>
              <w:t xml:space="preserve">de relatieve massa en lading van protonen, neutronen en elektronen definiëren en de getalwaarden 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 van het atoom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 symbolisch voorstellen met atoomnummer en nucleonengetal</w:t>
              <w:br/>
              <w:t xml:space="preserve"/>
              <w:br/>
              <w:t xml:space="preserve">het aantal protonen, neutronen en elektronen afleiden uit het nucleonengetal en het atoomnummer</w:t>
              <w:br/>
              <w:t xml:space="preserve"/>
              <w:br/>
              <w:t xml:space="preserve">op basis van het atoomnummer de elektronenconfiguratie volgens het atoommodel van Bohr (voor elementen met Z ≤ 18 ) 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2.1.3	HET PERIODIEK SYSTEEM DER ELEMENTEN (PSE)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het PSE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Z ≤ 18 de elementen op basis van de elektronenconfiguratie een plaats geven in het PSE volgens de indeling: periode, groep, groepsnaam, metalen, niet-metalen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elementen uit de hoofdgroepen het aantal elektronen op de buitenste hoofschil afleiden met behulp van het PSE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2.1.4	ATOOMMASSA, MOLECUULMASSA, MOLAIRE MASSA</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atoommassa, molecuulmassa, molaire massa, het getal van Avogadro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relatieve atoom- en molecuulmassa en de molaire massa afleiden of berekenen uit het PSE</w:t>
              <w:br/>
              <w:t xml:space="preserve"/>
              <w:br/>
              <w:t xml:space="preserve">de begrippen relatieve atoom- en molecuulmassa beschrijven</w:t>
              <w:br/>
              <w:t xml:space="preserve"/>
              <w:br/>
              <w:t xml:space="preserve">omrekeningen maken tussen het aantal deeltjes en stofhoeveelheden (massa en mol)</w:t>
              <w:br/>
              <w:t xml:space="preserve"/>
              <w:br/>
              <w:t xml:space="preserve">het getal van Avogadro definiëren en de getalwaarde schrijven</w:t>
              <w:br/>
              <w:t xml:space="preserve"/>
              <w:br/>
              <w:t xml:space="preserve">omrekeningen maken tussen massa en stofhoeveelheden in mol</w:t>
              <w:br/>
              <w:t xml:space="preserve"/>
              <w:br/>
              <w:t xml:space="preserve">de juiste symbolen, SI-eenheden en terminologie gebruiken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2.2.1	MENGSELS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stofeigenschappen: smelttraject of smelttemperatuur, kooktraject of kooktemperatuur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zuivere stoffen en mengsels maken op basis van stofeigenschappen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mengsels: homogeen, heterogeen, een oplossing, een emulsie of suspensie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mengsels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scheidingstechnieken:  filtrateren, extraheren, chromatografie, destilleren, centrifugeren, adsorberen, absorberen, kristalliseren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de gegeven scheidingstechnieken herkennen in toepassingen</w:t>
              <w:br/>
              <w:t xml:space="preserve"/>
              <w:br/>
              <w:t xml:space="preserve">een geschikte scheidingstechniek voorstellen voor een gegeven mengsel om een zuivere stof uit het mengsel te isoleren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2.2.2	ZUIVERE STOFFEN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zuivere stoffen: enkelvoudige en samengestelde stoffen, organische en anorganische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classificeren als enkelvoudige of samengestelde stof aan de hand van een chemische formule of deeltjesmodel</w:t>
              <w:br/>
              <w:t xml:space="preserve"/>
              <w:br/>
              <w:t xml:space="preserve">stoffen classificeren als organisch of anorganisch aan de hand van een chemische formule of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coëfficiënt en index van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moleculen en het aantal atomen van een atoomsoort in een molecule of ion schrijven aan de hand van een chemische formule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2.2.3	ENKELVOUDIGE STOFFEN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namen en chemische formules van metalen, niet-metalen, edelgassen: H2 N2 O2 F2 Cl2 Br2 I2, O3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metaal, niet-metaal en edelgassen classificeren aan de hand van een chemische formule </w:t>
              <w:br/>
              <w:t xml:space="preserve"/>
              <w:br/>
              <w:t xml:space="preserve">de naam en de symbolische voorstelling van de belangrijkste enkelvoudige stoffen 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2.2.4	SAMENGESTELDE STOFFEN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anorganische stofklassen: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anorganische stoffen classificeren volgens de stofklassen aan de hand van een chemische formule  of structuurformule</w:t>
              <w:br/>
              <w:t xml:space="preserve"/>
              <w:br/>
              <w:t xml:space="preserve">chemische formules van zuren, zouten, basen en oxiden vormen met behulp van het PSE en een tabel met oxidatiegetallen (zie bijlagen)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organische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voorkomen en toepassingen van n-alkanen in het dagelijkse leven beschrijven</w:t>
              <w:br/>
              <w:t xml:space="preserve"/>
              <w:br/>
              <w:t xml:space="preserve">de gevolgen van een volledige en onvolledige verbranding van alkanen op ecologische vlak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n-alkanen,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formules en IUPAC-namen van zuren, zouten, basen, oxiden en de eerste 10n-alkanen 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triviale namen: zoutzuur, zwavelzuur, bijtende soda, gewone soda, gebluste kalk, ongebluste kalk, kalkwater, koolzuuur, salpeterzuur, fosforzuur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triviale namen hanteren in antwoorden, herkennen in teksten en vraagstellingen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2.2.5	DE CHEMISCHE BINDING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atoom, molecule,  poly-atomisch ion en mono-atomisch 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een atoom, een molecule, een poly-atomisch ion ofeen mono-atomisch ion aan de hand van een gegeven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ionbinding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ionvorming van metalen en niet-metalen uit de hoofdgroepen (I,II,III,VI,VII) verklaren aan de hand van voorbeelden</w:t>
              <w:br/>
              <w:t xml:space="preserve"/>
              <w:br/>
              <w:t xml:space="preserve">het ontstaan van een ionbinding voor binaire verbindingen verklaren aan de hand van gegeven voorbeelden</w:t>
              <w:br/>
              <w:t xml:space="preserve"/>
              <w:br/>
              <w:t xml:space="preserve">het geleidingsvermogen van stoffen verklaren door een verband te leggen met het bindingstype in het molecule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covalente verbinding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een covalente binding (atoombinding) voor binaire verbindingen verklaren aan de hand van voorbeelden</w:t>
              <w:br/>
              <w:t xml:space="preserve"/>
              <w:br/>
              <w:t xml:space="preserve">het geleidingsvermogen van stoffen verklaren door een verband te leggen met het bindingstype in het molecule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metaalbinding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de metaalbinding verklaren</w:t>
              <w:br/>
              <w:t xml:space="preserve"/>
              <w:br/>
              <w:t xml:space="preserve">het geleidingsvermogen van stoffen verklaren door een verband te leggen met het bindingstype in het molecule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2.2.6	ROOSTERTYPES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atoomrooster, ionrooster, metaalrooster, molecuulrooster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roostertypes in verband brengen met hun chemische binding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2.2.7	VEILIGHEID EN DUURZAAMHEID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pictogrammen , H/P-zinnen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pictogrammen op productetiketten herkennen en hun betekenis beschrijven</w:t>
              <w:br/>
              <w:t xml:space="preserve"/>
              <w:br/>
              <w:t xml:space="preserve">op basis van H/P aantonen of een chemische stof al dan niet gebruikt kan worden in bepaalde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duurzaamheidsprincipes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zorgzaam omgaan met stoffen verklaren vanuit het duurzaamheidsprincipe en het voorkomen van afval; volgende vragen kunnen je helpen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Stofomzettingen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2.3.1	REACTIEVERGELIJKINGEN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reagens, reagentia of reagerende stoffen, reactieproduct, reactievergelijking, chemische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chemische reacties voorstellen met behulp van het deeltjesmodel</w:t>
              <w:br/>
              <w:t xml:space="preserve"/>
              <w:br/>
              <w:t xml:space="preserve">het principe van een chemische reactie verklaren</w:t>
              <w:br/>
              <w:t xml:space="preserve"/>
              <w:br/>
              <w:t xml:space="preserve">deze begrippen definiëren</w:t>
              <w:br/>
              <w:t xml:space="preserve"/>
              <w:br/>
              <w:t xml:space="preserve">de wet van behoud van atomen en de wet van Lavoisier beschrijven en in verband brengen met bijvoorbeeld de afvalproblematiek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2.3.2	REACTIEPATRONEN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metalen/ niet-metalen  + dizuurstof</w:t>
              <w:br/>
              <w:t xml:space="preserve"/>
              <w:br/>
              <w:t xml:space="preserve">metaaloxiden/niet-metaaloxiden  +  water</w:t>
              <w:br/>
              <w:t xml:space="preserve"/>
              <w:br/>
              <w:t xml:space="preserve">zuren  +  basen</w:t>
              <w:br/>
              <w:t xml:space="preserve"/>
              <w:br/>
              <w:t xml:space="preserve">ionisatie- en dissociatiereacties</w:t>
              <w:br/>
              <w:t xml:space="preserve"/>
              <w:br/>
              <w:t xml:space="preserve">volledige en onvolledige verbranding van alkanen</w:t>
              <w:br/>
              <w:t xml:space="preserve"/>
              <w:br/>
              <w:t xml:space="preserve">oxidatie- en reductiereacties</w:t>
              <w:br/>
              <w:t xml:space="preserve"/>
              <w:br/>
              <w:t xml:space="preserve">eenvoudige essentiële ionenreacties ende stoffenreactievergelijkingen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reactiepatronen in eenvoudige reacties met de juiste chemische formules herkennen, schrijven en/of vervolledigen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2.3.3	REACTIESOORTEN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exo-of endo-energetische reacties, een neerslag- gasontwikkelings- of neutralisatiereacties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in waarnemingen of beeldfragmenten classificeren met behulp van de oplosbaarheidstabel die je vindt als  bijlage</w:t>
              <w:br/>
              <w:t xml:space="preserve"/>
              <w:br/>
              <w:t xml:space="preserve">het energiediagram van een exo- en endo-energetische reactie interpreteren en identificeren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ionenuitwisselingsreactie, protonenuitwisselingsreactie, elektronenuitwisselingsreactie, synthese- of analysereactie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aan de hand van een reactievergelijking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 verbrandingsreacties, synthese- en analysereacties met binaire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 van oxidatiegetallen in eenvoudige redoxreacties vaststellen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reductie, oxidatie, reductor, oxidator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een eenvoudige redoxreactie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2.3.4	OPLOSPROCES VAN STOFFEN IN WATER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dipoolkarakter van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dipoolkarakter van water verklaren met behulp van de ruimtelijke structuur van een watermolecule die je zelf moet tekenen en het verschil in elektronegatieve waarde tussen waterstof en zuurstof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oplosproces in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interacties tussen deeltjes beschrijven bij het oplossen van een stof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polaire en apolaire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polaire en apolaire stoffen onderscheiden op basis van het verschil in elektronegatieve waarde</w:t>
              <w:br/>
              <w:t xml:space="preserve"/>
              <w:br/>
              <w:t xml:space="preserve">aan de hand van de polariteit van stoffen verklaren of deze al dan oplosbaar zijn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elektrolyten en niet-elektrolyten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indelen in elektrolyt of niet-elektrolyt op basis van het elektrisch geleidend vermogen van een oplossing</w:t>
              <w:br/>
              <w:t xml:space="preserve"/>
              <w:br/>
              <w:t xml:space="preserve">stoffen indelen in elektrolyten en niet-elektrolyten op basis van het bindingstype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molaire- en massaconcentratie van een oplossing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molaire- en massaconcentratie van een oplossing definiëren</w:t>
              <w:br/>
              <w:t xml:space="preserve"/>
              <w:br/>
              <w:t xml:space="preserve">de molaire- en massaconcentratie van een oplossing berekenen</w:t>
              <w:br/>
              <w:t xml:space="preserve"/>
              <w:br/>
              <w:t xml:space="preserve">Let op: je moet de juiste terminologie, symbolen en SI-eenheden gebruiken.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SNELHEID en KRACHT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Snelheid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snelheid als vector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snelheid als vector herkennen en benoemen in concrete voorbeelden</w:t>
              <w:br/>
              <w:t xml:space="preserve"/>
              <w:br/>
              <w:t xml:space="preserve">de omzetting maken tussen km/h en m/s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voorstelling van snelheid in functie van de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 berekenen van een eenparige rechtlijnige beweging</w:t>
              <w:br/>
              <w:t xml:space="preserve"/>
              <w:br/>
              <w:t xml:space="preserve">een x(t)- en v(t)-grafiek maken en interpreteren </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Kracht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kracht als vector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kracht en de effecten van een kracht beschrijven</w:t>
              <w:br/>
              <w:t xml:space="preserve"/>
              <w:br/>
              <w:t xml:space="preserve">krachtwerking door contact en krachtwerking op afstand onderscheiden en met concrete voorbeelden illustreren</w:t>
              <w:br/>
              <w:t xml:space="preserve"/>
              <w:br/>
              <w:t xml:space="preserve">de kenmerken van kracht als vector herkennen en benoemen in concrete voorbeelden</w:t>
              <w:br/>
              <w:t xml:space="preserve"/>
              <w:br/>
              <w:t xml:space="preserve">een kracht voorstellen als een vector door de richting, de zin en de grootte te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samenstellen van krachten volgens dezelfde richting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resulterende kracht bepalen en berekenen</w:t>
              <w:br/>
              <w:t xml:space="preserve"/>
              <w:br/>
              <w:t xml:space="preserve">de eerste wet van Newton gebruiken om concrete voorbeelden te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zwaartekracht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zwaartekracht op de massa van een voorwerp berekenen</w:t>
              <w:br/>
              <w:t xml:space="preserve"/>
              <w:br/>
              <w:t xml:space="preserve">het verschil tussen massa en gewicht aangeven</w:t>
              <w:br/>
              <w:t xml:space="preserve"/>
              <w:br/>
              <w:t xml:space="preserve">de zwaarteveldsterkte bepalen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veerkracht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veerconstante van een veer bepalen</w:t>
              <w:br/>
              <w:t xml:space="preserve"/>
              <w:br/>
              <w:t xml:space="preserve">het verband tussen een  vervorming en de uitgeoefende kracht grafisch voorstellen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MATERIE en DRUK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4.1	Materie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massadichtheid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massadichtheid beschrijven</w:t>
              <w:br/>
              <w:t xml:space="preserve"/>
              <w:br/>
              <w:t xml:space="preserve">de massadichtheid van een vaste stof, vloeistof of gas berekenen</w:t>
              <w:br/>
              <w:t xml:space="preserve"/>
              <w:br/>
              <w:t xml:space="preserve">de bepaling van de massadichtheid van een vaste stof, vloeistof of gas beschrijven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4.2	Druk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druk, de eenheden van druk</w:t>
              <w:br/>
              <w:t xml:space="preserve"/>
              <w:br/>
              <w:t xml:space="preserve">de hydrostatische druk</w:t>
              <w:br/>
              <w:t xml:space="preserve"/>
              <w:br/>
              <w:t xml:space="preserve">het beginsel van Pascal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druk definiëren door de kracht en de oppervlakte te gebruiken</w:t>
              <w:br/>
              <w:t xml:space="preserve"/>
              <w:br/>
              <w:t xml:space="preserve">de grootte van de druk berekenen</w:t>
              <w:br/>
              <w:t xml:space="preserve"/>
              <w:br/>
              <w:t xml:space="preserve">de juiste eenheden voor druk gebruiken en omzetten naar elkaar: Pa, hPa, bar, mbar</w:t>
              <w:br/>
              <w:t xml:space="preserve"/>
              <w:br/>
              <w:t xml:space="preserve">de factoren die de druk in een vloeistof bepalen opsommen</w:t>
              <w:br/>
              <w:t xml:space="preserve"/>
              <w:br/>
              <w:t xml:space="preserve">de grootte van de vloeistofdruk berekenen</w:t>
              <w:br/>
              <w:t xml:space="preserve"/>
              <w:br/>
              <w:t xml:space="preserve">de voortplanting van druk op een vloeistof aan de hand van gegeven voorbeelden zoals het remsysteem van een auto, hydraulische persen, een watertoren, een peilglas, een sifon verklaren</w:t>
              <w:br/>
              <w:t xml:space="preserve"/>
              <w:br/>
              <w:t xml:space="preserve">de voortplanting van druk op een vloeistof toepassen bij een systeem van verbonden vaten en bij het berekenen van de totale druk in een vat gevuld met een vloeistof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deeltjesmodel van een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 tussen een 'ideaal gas' en een reëel gas opsommen</w:t>
              <w:br/>
              <w:t xml:space="preserve"/>
              <w:br/>
              <w:t xml:space="preserve">toestandsfactoren van een ideaal gas opsommen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toestandsgrootheden druk, volume en temperatuur van een bepaalde hoeveelheid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een bepaalde hoeveelheid gas het wiskundig verband tussen temperatuur, druk en volume toepassen in een eenvoudige berekening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absoluut nulpunt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situatie verklaren aan de hand van de kinetische opvatting van het begrip temperatuur</w:t>
              <w:br/>
              <w:t xml:space="preserve"/>
              <w:br/>
              <w:t xml:space="preserve">de betekenis van absolute temperatuur beschrijven</w:t>
              <w:br/>
              <w:t xml:space="preserve"/>
              <w:br/>
              <w:t xml:space="preserve">de absolute temperatuur omzetten naar 'Celsius-temperatuur'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ENERGIE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5.1	Warmte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deeltjesmodel van materie en inwendige, potentiële en kinetisch,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inwendige energie beschrijven aan de hand van het deeltjesmodel</w:t>
              <w:br/>
              <w:t xml:space="preserve"/>
              <w:br/>
              <w:t xml:space="preserve">het verschil verklaren tussen warmtehoeveelheid en temperatuurwijziging</w:t>
              <w:br/>
              <w:t xml:space="preserve"/>
              <w:br/>
              <w:t xml:space="preserve">de warmtehoeveelheid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specifieke warmtecapaciteit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warmtecapaciteit en soortelijke warmtecapaciteit definiëren</w:t>
              <w:br/>
              <w:t xml:space="preserve"/>
              <w:br/>
              <w:t xml:space="preserve">het ontstaan van het thermisch evenwicht in een geïsoleerd systeem toelichten aan de hand van het deeltjesmodel</w:t>
              <w:br/>
              <w:t xml:space="preserve"/>
              <w:br/>
              <w:t xml:space="preserve">de specifieke warmtecapaciteit bepalen en berekenen aan de hand van de energie-uitwisseling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latente en merkbare warmte uitleggen</w:t>
              <w:br/>
              <w:t xml:space="preserve"/>
              <w:br/>
              <w:t xml:space="preserve">wijziging van inwendige kinetische of inwendige potentiële energie onderscheiden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latente en merkbare warmte uitleggen</w:t>
              <w:br/>
              <w:t xml:space="preserve"/>
              <w:br/>
              <w:t xml:space="preserve">wijziging van inwendige kinetische of inwendige potentiële energie onderscheiden</w:t>
              <w:br/>
              <w:t xml:space="preserve"/>
              <w:br/>
              <w:t xml:space="preserve">het smelten en stollen van een stof verklaren aan de hand van het deeltjesmodel</w:t>
              <w:br/>
              <w:t xml:space="preserve"/>
              <w:br/>
              <w:t xml:space="preserve">het verdampen en condenseren van een stof verklaren aan de hand van het deeltjesmodel</w:t>
              <w:br/>
              <w:t xml:space="preserve"/>
              <w:br/>
              <w:t xml:space="preserve">het sublimeren van een stof verklaren aan de hand van het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warmte-uitwisseling tijdens faseovergangen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temperatuurwijziging in functie van toegevoerde of afgevoerde energie kunnen aflezen en interpreteren;</w:t>
              <w:br/>
              <w:t xml:space="preserve"/>
              <w:br/>
              <w:t xml:space="preserve">de smeltcurve of stolcurve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5.2	Energieomzettingen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arbeid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 definiëren en gebruiken</w:t>
              <w:br/>
              <w:t xml:space="preserve"/>
              <w:br/>
              <w:t xml:space="preserve">de arbeid berekenen voor een constante kracht, evenwijdig met de verplaatsing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vermogen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vermogen definiëren  en gebruiken</w:t>
              <w:br/>
              <w:t xml:space="preserve"/>
              <w:br/>
              <w:t xml:space="preserve">het vermogen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gravitatiepotentiële energie bij het aardoppervlak, de elastische potentiële energie en de kinetische energie van een voorwerp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formule voor potentiële energie in het zwaarteveld (of 'zwaarte-energie') afleiden</w:t>
              <w:br/>
              <w:t xml:space="preserve"/>
              <w:br/>
              <w:t xml:space="preserve">de volgende formules gebruiken in een berekening:</w:t>
              <w:br/>
              <w:t xml:space="preserve"/>
              <w:br/>
              <w:t xml:space="preserve"/>
            </w:r>
          </w:p>
          <w:p>
            <w:pPr>
              <w:pStyle w:val="ListParagraph"/>
              <w:numPr>
                <w:ilvl w:val="0"/>
                <w:numId w:val="9"/>
              </w:numPr>
            </w:pPr>
            <w:r>
              <w:rPr/>
              <w:t xml:space="preserve">de formule voor potentiële energie in het zwaarteveld</w:t>
            </w:r>
          </w:p>
          <w:p>
            <w:pPr>
              <w:pStyle w:val="ListParagraph"/>
              <w:numPr>
                <w:ilvl w:val="0"/>
                <w:numId w:val="9"/>
              </w:numPr>
            </w:pPr>
            <w:r>
              <w:rPr/>
              <w:t xml:space="preserve">de formule voor kinetische energie</w:t>
            </w:r>
          </w:p>
          <w:p>
            <w:pPr>
              <w:pStyle w:val="ListParagraph"/>
              <w:numPr>
                <w:ilvl w:val="0"/>
                <w:numId w:val="9"/>
              </w:numPr>
            </w:pPr>
            <w:r>
              <w:rPr/>
              <w:t xml:space="preserve">de formule voor elastische potentiële energie</w:t>
            </w:r>
          </w:p>
          <w:p>
            <w:r>
              <w:rPr/>
              <w:t xml:space="preserve"/>
              <w:br/>
              <w:t xml:space="preserve"/>
              <w:br/>
              <w:t xml:space="preserve"/>
              <w:br/>
              <w:t xml:space="preserve">mechanische energie en andere vormen van energie zoals elektrische energie,chemische energie of kernenergie herkennen in concrete situaties uit het dagelijkse leven; bijvoorbeeld bij een waterkrachtcentrale, elektrische apparaten of benjispringen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 van behoud van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behoudswet van energie formuleren</w:t>
              <w:br/>
              <w:t xml:space="preserve"/>
              <w:br/>
              <w:t xml:space="preserve">de verschillende vormen van energie benoemen en energieverliezen bij energieomzettingen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rendement van een energieomzetting definiëren en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5.3	Licht en straling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stralengang van het licht in een homogene middenstof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lichtbron, lichtstraal en rechtlijnige voortplanting beschrijven</w:t>
              <w:br/>
              <w:t xml:space="preserve"/>
              <w:br/>
              <w:t xml:space="preserve">evenwijdige, convergerende en divergerende lichtbundels benoemen en tekenen</w:t>
              <w:br/>
              <w:t xml:space="preserve"/>
              <w:br/>
              <w:t xml:space="preserve">de kern- en bijschaduw tekenen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beeldvorming bij een vlakke spiegel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invallende straal, invalspunt, normaal, invalshoek, weerkaatste straal aanduiden op een tekening</w:t>
              <w:br/>
              <w:t xml:space="preserve"/>
              <w:br/>
              <w:t xml:space="preserve">de terugkaatsingwetten uitleggen en de stralengang tekenen</w:t>
              <w:br/>
              <w:t xml:space="preserve"/>
              <w:br/>
              <w:t xml:space="preserve">het beeld bij een vlakke spiegel tekenen en de eigenschappen van het beeld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stralengang van het licht bij breking van de ene middenstof naar de andere middenstof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grensvlak, de gebroken straal en de brekingshoek aanduiden op een tekening</w:t>
              <w:br/>
              <w:t xml:space="preserve"/>
              <w:br/>
              <w:t xml:space="preserve">het brekingsverschijnsel uitleggen en de stralengang tekenen</w:t>
              <w:br/>
              <w:t xml:space="preserve"/>
              <w:br/>
              <w:t xml:space="preserve">de schijnbare verhoging van een voorwerp onder water verklaren</w:t>
              <w:br/>
              <w:t xml:space="preserve"/>
              <w:br/>
              <w:t xml:space="preserve">de grenshoek en de totale terugkaatsing aanduiden in concrete voorbeelden zoals optische vezels, periscopen of verrekijkers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beeldvorming bij de dunne bolle lens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beeld bij een dunne bolle lens tekenen en de eigenschappen van het beeld toelichten (virtueel of reëel, rechtopstaand of omgekeerd, vergroot of verkleind)</w:t>
              <w:br/>
              <w:t xml:space="preserve"/>
              <w:br/>
              <w:t xml:space="preserve">de beeldvorming bij het menselijk oog verklaren; bijziendheid en verziendheid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optische toestellen: het vergrootglas en het fototoestel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beeldvorming bij het vergrootglas en het fototoestel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ONDERZOEKSVRAAG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natuurwetenschappelijke kennis en inzichten verwerven door een eenvoudige probleemstelling of vraagstelling via de natuurwetenschappelijke onderzoeksmethode te benaderen. In de rubriek 'Opdrachten' vind je twee opdrachten die je moet verwerken volgens een vast stappenplan. Thuis voer je onder begeleiding van een andere persoon zoals een van je ouders, de opdrachten uit. Je volgt daarbij de aanpak die we voorschrijven . Die aanpak is de natuurwetenschappelijke onderzoeksmethode:</w:t>
        <w:br/>
        <w:t xml:space="preserve"/>
        <w:br/>
        <w:t xml:space="preserve"/>
      </w:r>
    </w:p>
    <w:p>
      <w:pPr>
        <w:pStyle w:val="ListParagraph"/>
        <w:numPr>
          <w:ilvl w:val="0"/>
          <w:numId w:val="10"/>
        </w:numPr>
      </w:pPr>
      <w:r>
        <w:rPr/>
        <w:t xml:space="preserve">je vertrekt van een probleemstelling of een onderzoeksvraag,</w:t>
      </w:r>
    </w:p>
    <w:p>
      <w:pPr>
        <w:pStyle w:val="ListParagraph"/>
        <w:numPr>
          <w:ilvl w:val="0"/>
          <w:numId w:val="10"/>
        </w:numPr>
      </w:pPr>
      <w:r>
        <w:rPr/>
        <w:t xml:space="preserve">je voert het proefje uit volgens een voorgeschreven werkplan</w:t>
      </w:r>
    </w:p>
    <w:p>
      <w:pPr>
        <w:pStyle w:val="ListParagraph"/>
        <w:numPr>
          <w:ilvl w:val="0"/>
          <w:numId w:val="10"/>
        </w:numPr>
      </w:pPr>
      <w:r>
        <w:rPr/>
        <w:t xml:space="preserve">je trekt een besluit op basis van je waarnemingen en resultaten.</w:t>
      </w:r>
    </w:p>
    <w:p>
      <w:r>
        <w:rPr/>
        <w:t xml:space="preserve"> </w:t>
        <w:br/>
        <w:t xml:space="preserve"/>
        <w:br/>
        <w:t xml:space="preserve">Op de dag van het examen toetsen we of je effectief het proefje benaderd hebt volgens die aanpak. We doen dat door je enkele schriftelijke vragen voor te leggen over je aanpak, over een eventueel resultaat en over je waarnemingen.</w:t>
        <w:br/>
        <w:t xml:space="preserve"/>
        <w:br/>
        <w:t xml:space="preserve">In de tabel op de volgende bladzijde vind je een bondig overzicht van de achterliggende inhoud van het soort vragen dat we je stellen.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natuurwetenschappelijke onderzoeksmethode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Je moet de volgende vragen kunnen beantwoorden:</w:t>
              <w:br/>
              <w:t xml:space="preserve"/>
              <w:br/>
              <w:t xml:space="preserve"/>
            </w:r>
          </w:p>
          <w:p>
            <w:pPr>
              <w:pStyle w:val="ListParagraph"/>
              <w:numPr>
                <w:ilvl w:val="0"/>
                <w:numId w:val="11"/>
              </w:numPr>
            </w:pPr>
            <w:r>
              <w:rPr/>
              <w:t xml:space="preserve">Wat is volgens jou het probleem of de vraag die onderzocht wordt in je onderzoek?</w:t>
            </w:r>
          </w:p>
          <w:p>
            <w:pPr>
              <w:pStyle w:val="ListParagraph"/>
              <w:numPr>
                <w:ilvl w:val="0"/>
                <w:numId w:val="11"/>
              </w:numPr>
            </w:pPr>
            <w:r>
              <w:rPr/>
              <w:t xml:space="preserve">Wat is de hypothese of de verwachting die gesteld wordt?</w:t>
            </w:r>
          </w:p>
          <w:p>
            <w:r>
              <w:rPr/>
              <w:t xml:space="preserve"/>
              <w:br/>
              <w:t xml:space="preserve"/>
              <w:br/>
              <w:t xml:space="preserve"/>
              <w:br/>
              <w:t xml:space="preserve">Je moet heel beknopt kunnen weergeven welke stappen je gevolgd hebt bij het onderzoek.</w:t>
              <w:br/>
              <w:t xml:space="preserve"/>
              <w:br/>
              <w:t xml:space="preserve">Je moet kunnen aangeven welke factoren het waargenomen effect of de meetresultaten zouden kunnen beïnvloed hebben.</w:t>
              <w:br/>
              <w:t xml:space="preserve"/>
              <w:br/>
              <w:t xml:space="preserve">We kunnen je enkele onderzoeksresultaten geven in woorden, of we kunnen de meetwaarden in een tabel of in een grafiek tonen. Je moet dan de volgende vragen kunnen beantwoorden:</w:t>
              <w:br/>
              <w:t xml:space="preserve"/>
              <w:br/>
              <w:t xml:space="preserve"/>
            </w:r>
          </w:p>
          <w:p>
            <w:pPr>
              <w:pStyle w:val="ListParagraph"/>
              <w:numPr>
                <w:ilvl w:val="0"/>
                <w:numId w:val="12"/>
              </w:numPr>
            </w:pPr>
            <w:r>
              <w:rPr/>
              <w:t xml:space="preserve">Zijn de resultaten zoals die . in de tabel getoond worden aannemelijk of zit er een meetfout in?</w:t>
            </w:r>
          </w:p>
          <w:p>
            <w:pPr>
              <w:pStyle w:val="ListParagraph"/>
              <w:numPr>
                <w:ilvl w:val="0"/>
                <w:numId w:val="12"/>
              </w:numPr>
            </w:pPr>
            <w:r>
              <w:rPr/>
              <w:t xml:space="preserve">Is de grafiek ook ongeveer het soort grafiek die jij bekomen hebt bij de uitvoering en verwerking thuis?</w:t>
            </w:r>
          </w:p>
          <w:p>
            <w:pPr>
              <w:pStyle w:val="ListParagraph"/>
              <w:numPr>
                <w:ilvl w:val="0"/>
                <w:numId w:val="12"/>
              </w:numPr>
            </w:pPr>
            <w:r>
              <w:rPr/>
              <w:t xml:space="preserve">Zie je aan de resultaten of er een storende factor in het spel is zoals wrijving, energieverlies onder de vorm van warmte, …?</w:t>
            </w:r>
          </w:p>
          <w:p>
            <w:r>
              <w:rPr/>
              <w:t xml:space="preserve"/>
              <w:br/>
              <w:t xml:space="preserve"/>
              <w:br/>
              <w:t xml:space="preserve"/>
              <w:br/>
              <w:t xml:space="preserve">We kunnen je vragen om de resultaten te rapporteren; je zal dan een besluit moeten formuleren over jouw resultaten. Je zal daarvoor een instructiebladkrijgen om je te ondersteunen. . Een vraag daarbij zou kunnen zijn:</w:t>
              <w:br/>
              <w:t xml:space="preserve"/>
              <w:br/>
              <w:t xml:space="preserve"/>
            </w:r>
          </w:p>
          <w:p>
            <w:pPr>
              <w:pStyle w:val="ListParagraph"/>
              <w:numPr>
                <w:ilvl w:val="0"/>
                <w:numId w:val="13"/>
              </w:numPr>
            </w:pPr>
            <w:r>
              <w:rPr/>
              <w:t xml:space="preserve">Wordt de hypothese tegengesproken of bevestigd? Waarom?</w:t>
            </w:r>
          </w:p>
          <w:p>
            <w:r>
              <w:rPr/>
              <w:t xml:space="preserve"/>
              <w:br/>
              <w:t xml:space="preserve"/>
              <w:br/>
              <w:t xml:space="preserve"/>
              <w:br/>
              <w:t xml:space="preserve">We kunnen jou bijkomende informatie geven uit een wetenschappelijk artikel. We kunnen dan vragen wat de verschilpunten zijn tussen jouw proefje en de informatie uit het artikel.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maakt voor dit vak twee onderzoeksopdrachten. Je vindt de opdracht hier als bijlage. </w:t>
        <w:br/>
        <w:t>Maak de verslagen van de onderzoeksopdracht in het sjabloon in bijlage 2. Maak van beide verslagen samen één pdf-document en sla het op met volgende naam: </w:t>
        <w:br/>
        <w:t>- datum examen (jaar, maand, dag) </w:t>
        <w:br/>
        <w:t>- jouw naam en voornaam </w:t>
        <w:br/>
        <w:t>- NAT2A </w:t>
      </w:r>
    </w:p>
    <w:p>
      <w:pPr>
        <w:jc w:val="both"/>
      </w:pPr>
      <w:r>
        <w:t xml:space="preserve">Laad de pdf ten laatste 7 dagen voor het examen op in het EC-platform. </w:t>
      </w:r>
    </w:p>
    <w:p>
      <w:pPr>
        <w:jc w:val="both"/>
      </w:pPr>
      <w:r>
        <w:t xml:space="preserve">Voorbeeld: Je hebt op maandag 21 januari 2019 examen. Je laadt je verslag ten laatste op zondag 13 januari 2019 om 23u59 op. </w:t>
        <w:br/>
        <w:t>Het bestand heeft dan als naam: 20190121_JanssensJan_NAT2A</w:t>
        <w:br/>
        <w:t/>
      </w:r>
      <w:r w:rsidRPr="003E4776">
        <w:t/>
      </w:r>
    </w:p>
    <w:p w14:paraId="5B5E3ED3" w14:textId="0FE7D0D3" w:rsidR="0076163F" w:rsidRDefault="0076163F" w:rsidP="0076163F">
      <w:r w:rsidRPr="003E4776">
        <w:t/>
      </w:r>
      <w:r>
        <w:t>bijlage 1 - ERB onderzoeksopdracht.pdf</w:t>
      </w:r>
      <w:r w:rsidRPr="003E4776">
        <w:t/>
      </w:r>
    </w:p>
    <w:p w14:paraId="5B5E3ED3" w14:textId="0FE7D0D3" w:rsidR="0076163F" w:rsidRDefault="0076163F" w:rsidP="0076163F">
      <w:r w:rsidRPr="003E4776">
        <w:t/>
      </w:r>
      <w:r>
        <w:t>bijlage 1 - water onderzoeksopdracht.pdf</w:t>
      </w:r>
      <w:r w:rsidRPr="003E4776">
        <w:t/>
      </w:r>
    </w:p>
    <w:p w14:paraId="5B5E3ED3" w14:textId="0FE7D0D3" w:rsidR="0076163F" w:rsidRDefault="0076163F" w:rsidP="0076163F">
      <w:r w:rsidRPr="003E4776">
        <w:t/>
      </w:r>
      <w:r>
        <w:t>bijlage 2 - water verslag.docx</w:t>
      </w:r>
      <w:r w:rsidRPr="003E4776">
        <w:t/>
      </w:r>
    </w:p>
    <w:p w14:paraId="5B5E3ED3" w14:textId="0FE7D0D3" w:rsidR="0076163F" w:rsidRDefault="0076163F" w:rsidP="0076163F">
      <w:r w:rsidRPr="003E4776">
        <w:t/>
      </w:r>
      <w:r>
        <w:t>bijlage 2 - ERB verslag.docx</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NAT2A digitaal examen.pdf</w:t>
      </w:r>
      <w:r w:rsidRPr="003E4776">
        <w:t/>
      </w:r>
    </w:p>
    <w:p w14:paraId="499D1B0A" w14:textId="79267327" w:rsidR="0076163F" w:rsidRDefault="0076163F" w:rsidP="0076163F">
      <w:r w:rsidRPr="003E4776">
        <w:t/>
      </w:r>
      <w:r>
        <w:t>Bijlage OO NAT 2A water - determineertabel.pdf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natuurwetenschappen 2aso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Het examen bestaat uit verschillende delen:</w:t>
      </w:r>
    </w:p>
    <w:p>
      <w:pPr>
        <w:jc w:val="both"/>
      </w:pPr>
      <w:r>
        <w:t xml:space="preserve"/>
      </w:r>
    </w:p>
    <w:p>
      <w:pPr>
        <w:jc w:val="both"/>
      </w:pPr>
      <w:r>
        <w:t xml:space="preserve">Je begint met het eerste deel. Dit bevat vragen over de onderzoeksopdrachten. Je hebt maximaal 15 minuten om deze vragen te beantwoorden. Je kunt niet terugkeren naar dit onderdeel. Volg hiervoor de instructies op het scherm.</w:t>
      </w:r>
    </w:p>
    <w:p>
      <w:pPr>
        <w:jc w:val="both"/>
      </w:pPr>
      <w:r>
        <w:t xml:space="preserve"/>
      </w:r>
    </w:p>
    <w:p>
      <w:pPr>
        <w:jc w:val="both"/>
      </w:pPr>
      <w:r>
        <w:t xml:space="preserve">Daarna ga je verder met de rest van het examen.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 </w:t>
      </w:r>
    </w:p>
    <w:p>
      <w:pPr>
        <w:jc w:val="both"/>
      </w:pPr>
      <w:r>
        <w:t xml:space="preserve">Er is een eenvoudige rekenmachine beschikbaar op het examen (op de computer).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een balpen</w:t>
      </w:r>
    </w:p>
    <w:p>
      <w:pPr>
        <w:jc w:val="both"/>
      </w:pPr>
      <w:r>
        <w:t xml:space="preserve">kladpapier</w:t>
      </w:r>
    </w:p>
    <w:p>
      <w:pPr>
        <w:jc w:val="both"/>
      </w:pPr>
      <w:r>
        <w:t xml:space="preserve">de formularia die je vindt als bijlagen in de vakfiche.</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 toegekend worden);</w:t>
      </w:r>
    </w:p>
    <w:p>
      <w:pPr>
        <w:jc w:val="both"/>
      </w:pPr>
      <w:r>
        <w:t xml:space="preserve">- duidelijk gestructureerd is.</w:t>
      </w:r>
    </w:p>
    <w:p>
      <w:pPr>
        <w:jc w:val="both"/>
      </w:pPr>
      <w:r>
        <w:t xml:space="preserve"/>
      </w:r>
    </w:p>
    <w:p>
      <w:pPr>
        <w:jc w:val="both"/>
      </w:pPr>
      <w:r>
        <w:t xml:space="preserve">Wij houden geen rekening met taalfouten.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Materie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Snelheid, kracht, druk en energie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Biogenie</w:t>
              <w:br/>
              <w:t xml:space="preserve"/>
              <w:br/>
              <w:t xml:space="preserve">ChemieGO</w:t>
              <w:br/>
              <w:t xml:space="preserve"/>
              <w:br/>
              <w:t xml:space="preserve">Quark</w:t>
              <w:br/>
              <w:t xml:space="preserve"/>
              <w:br/>
              <w:t xml:space="preserve">Sirius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www.uitgeverijdeboeck.be</w:t>
              <w:br/>
              <w:t xml:space="preserve"/>
              <w:br/>
              <w:t xml:space="preserve">03 / 200 45 80</w:t>
              <w:br/>
              <w:t xml:space="preserve">bestellingen@uitgeverijdeboeck.be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Bioskoop</w:t>
              <w:br/>
              <w:t xml:space="preserve"/>
              <w:br/>
              <w:t xml:space="preserve">chemieXpert</w:t>
              <w:br/>
              <w:t xml:space="preserve"/>
              <w:br/>
              <w:t xml:space="preserve">FysicaXpert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Natuurlijk</w:t>
              <w:br/>
              <w:t xml:space="preserve"/>
              <w:br/>
              <w:t xml:space="preserve">Op weg met chemie</w:t>
              <w:br/>
              <w:t xml:space="preserve"/>
              <w:br/>
              <w:t xml:space="preserve">Impuls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Interactie 3/4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secundair.diekeure.be</w:t>
              <w:br/>
              <w:t xml:space="preserve"/>
              <w:br/>
              <w:t xml:space="preserve">050 / 47 12 72</w:t>
              <w:br/>
              <w:t xml:space="preserve">info@diekeure.be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site biedt eenvoudige maar zeer goede visuele ondersteuning wat betreft verschillende biologische/biochemische processen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