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theorie en schriftuur 3 kso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2021 tot en met 31 december  2021</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Leerplan VVKSO KSO 3 Muziek – Brussel D/2012/7841/039</w:t>
        <w:br/>
        <w:t>GO 2015/031 (vervangt 97066)</w:t>
        <w:br/>
        <w:t>Minimum-leerplan Vlaamse Gemeenschap DKO Muziek AMT/MT juli 1990</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De studierichting Muziek kso omvat in het specifieke gedeelte een veelzijdig artistiek palet van zowel vocale als instrumentale expressievormen. Naast de algemene muzikale onderdelen word je geacht voldoende competenties te beschikken in de keuze van het hoofdinstrument.</w:t>
        <w:br/>
        <w:t xml:space="preserve"/>
        <w:br/>
        <w:t xml:space="preserve"/>
        <w:br/>
        <w:t xml:space="preserve">De grondigere voorbereiding die sommige vakken nodig hebben (o.a. de hoofddiscipline), is nodig voor de productevaluatie van de Examencommissie. Een grondige individuele voorbereiding van de muziektheorie en het instrument gaan hand in hand met het proces van het samen musiceren zoals in de vakken koorzang, instrumentaal ensemble, zangproef notenleer of instrumentaal ensemble.</w:t>
        <w:br/>
        <w:t xml:space="preserve"/>
        <w:br/>
        <w:t xml:space="preserve"/>
        <w:br/>
        <w:t xml:space="preserve">Dit niveau verwerf je met muziektechnische bagage op psychomotorisch niveau, met de noodzakelijke vaardigheden om het muzikaal verwerken mogelijk te maken (mede door de omringingsvakken) en op affectief niveau met het zich kunnen inleven in een compositie en het op een artistiek verantwoorde wijze kunnen interpreteren. Deze drie niveaus lopen in de praktijk door</w:t>
        <w:br/>
        <w:t xml:space="preserve">elkaar en worden niet afzonderlijk behandeld.</w:t>
        <w:br/>
        <w:t xml:space="preserve"/>
        <w:br/>
        <w:t xml:space="preserve"/>
        <w:br/>
        <w:t xml:space="preserve">Als afgestudeerde kunststudent verwachten we dat je in staat bent om probleemoplossend te denken in de materie eigen aan dit diplomaniveau. Om je op dit muzikaal technisch en communicatief niveau te brengen, verwachten we dat je zelfstandig kan voorbereiden, de gevraagde administratieve vereisten op de dag van het examen kan overhandigen en in staat bent je persoonlijk</w:t>
        <w:br/>
        <w:t xml:space="preserve">en artistiek tot een minstens voldoende niveau uit te drukken.</w:t>
        <w:br/>
        <w:t xml:space="preserve"/>
        <w:br/>
        <w:t xml:space="preserve"/>
        <w:br/>
        <w:t xml:space="preserve">Het vak 'Theorie en schriftuur' is een algemene basis om de instrumentele vakken, waar je de partituur uitvoert, te steunen. Het ontbreken van de kennis van melodische opbouw, akkoordopbouw, harmonische en melodische processen in de analyse van de partituur kunnen de artistieke uitvoering van hoofd- en neveninstrument grote schade toebrengen.</w:t>
        <w:br/>
        <w:t xml:space="preserve"/>
        <w:br/>
        <w:t xml:space="preserve"/>
        <w:br/>
        <w:t xml:space="preserve">Niet alleen de analyse maar ook het zelf realiseren van eenvoudige akkoorden en zijn verbindingen in een vierstemmige harmonieopgave vormt een belangrijke basis bij de inzichten van de uitvoerende musicus.</w:t>
        <w:br/>
        <w:t xml:space="preserve"/>
        <w:br/>
        <w:t xml:space="preserve"/>
        <w:br/>
        <w:t xml:space="preserve">De gedetailleerde analyse die je dient voor te bereiden vormt een sleutelstuk in de attitude van het zelfstandige voorbereidingswerk van de partituur als uitvoerder. Een voorbereide analyse van het te spelen stuk verrijkt de uitvoering en draagt bij in de expressie tussen de uitvoerder en het publiek.</w:t>
        <w:br/>
        <w:t xml:space="preserve"/>
        <w:br/>
        <w:t xml:space="preserve"/>
        <w:br/>
        <w:t xml:space="preserve">De algemene doelstelling is het verwerven van een algemeen inzicht met betrekking tot de harmonische, contrapuntische en formele constructie van een muziekwerk zowel door analyse als door eigen creatieve realisatie.</w:t>
        <w:br/>
        <w:t xml:space="preserve"/>
        <w:br/>
        <w:t xml:space="preserve">Via analytisch inzicht in de muzikale literatuur wordt je inzicht verruimd. Dat kan je inzetten om je muziekstudie te verdiepen. Deze analyse kan je gebruiken om de harmonische schrijftechnieken toe te passen door het innerlijk voorstellingsvermogen. Via harmonie raak je bekend met het klankidioom van de klassieke muziek (barok, classicisme en (vroeg-) romantiek).</w:t>
        <w:br/>
        <w:t xml:space="preserve"/>
        <w:br/>
        <w:t xml:space="preserve">De einddoelstelling van dit deel is om voldoende bagage mee te geven om de leerstof verder te kunnen verfijnen en om aan zelfstandig onderzoek te doen. Deze attitude, de verzelfstandiging van het artistieke leerproces, dient om de kandidaat goed te kunnen voorbereiden op de artistieke uitvoering (het product).</w:t>
        <w:br/>
        <w:t xml:space="preserve"/>
        <w:br/>
        <w:t xml:space="preserve"/>
        <w:br/>
        <w:t xml:space="preserve">De vakfiches KSO 3 Muziek omvatten de vakken van de richting klassiek en niet de richtingen jazz/lichte muziek en musical.</w:t>
      </w:r>
    </w:p>
    <w:p>
      <w:r>
        <w:rPr/>
        <w:t xml:space="preserve"/>
      </w:r>
      <w:r>
        <w:rPr>
          <w:color w:val="00B050"/>
        </w:rPr>
        <w:t/>
      </w:r>
    </w:p>
    <w:p w14:paraId="70391787" w14:textId="3DB223A8" w:rsidR="00047953" w:rsidRDefault="001D02B3" w:rsidP="0082741A">
      <w:r>
        <w:rPr>
          <w:color w:val="00B050"/>
        </w:rPr>
        <w:t/>
      </w:r>
      <w:r>
        <w:t/>
      </w:r>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Harmonische schriftuur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Analyse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Harmonische schriftuur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Melodisch</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akkoordnoten</w:t>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akkoordnoten als reële noten van een akkoord/graad herkennen, toelichten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akkoordnoten functioneel (T, S, D – tonica, subdominant, dominant) herkennen, toelichten en toepassen (met omkeringen)</w:t>
              <w:br/>
              <w:t xml:space="preserve">in zowel de sopraan- als de baspartij</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akkoordnoten die als TD en DD (tussendominant en dubbeldominant) zijn geschreven/bedoeld zijn, herkennen, toelichten en toepassen (met omkeringen)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akkoordnoten als aparte noten in een akkoord of graad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overige stemmen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overige stemmen (bij basopgave: de sopraan, de alt en de tenor en bij de sopraanopgave: de alt, de tenor en de bas) in een</w:t>
              <w:br/>
              <w:t xml:space="preserve">overeenstemmend ritme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sequensen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sequensen benoemen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sequensen in de opgegeven partij herkennen en harmonisatie in dezelfde en eventueel in de overige stemmen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modulatie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modulatie herkennen, toelichten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laddervreemde noot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laddervreemde noot herkennen, toelichten en de context met de overige stemmen inschatten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cadens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cadens herkennen, toelichten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bij een basopgave en sopraanopgave herkennen wanneer er een cadens moet geschreven worden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lange noot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lange noot herkennen, toelichten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invulling van een lange noot in de bas- of sopraanopgave gepast toepassen met bijvoorbeeld een kwart-sext- en een kwintakkoord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ritme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ritme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schrijven van gepaste ritmes toepassen in de overige stemmen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metrum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metrum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schrijven van gepaste akkoorden en ritmes toepassen vanuit het maatcijfer (sterkte tijden – zwakke tijden)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stemvoering :</w:t>
            </w:r>
          </w:p>
          <w:p>
            <w:pPr>
              <w:pStyle w:val="ListParagraph"/>
              <w:numPr>
                <w:ilvl w:val="0"/>
                <w:numId w:val="8"/>
              </w:numPr>
            </w:pPr>
            <w:r>
              <w:rPr/>
              <w:t xml:space="preserve">stemkruising: verboden</w:t>
            </w:r>
          </w:p>
          <w:p>
            <w:pPr>
              <w:pStyle w:val="ListParagraph"/>
              <w:numPr>
                <w:ilvl w:val="0"/>
                <w:numId w:val="8"/>
              </w:numPr>
            </w:pPr>
            <w:r>
              <w:rPr/>
              <w:t xml:space="preserve">samengevoegde beweging: trapsgewijs dalen of stijgen</w:t>
            </w:r>
          </w:p>
          <w:p>
            <w:pPr>
              <w:pStyle w:val="ListParagraph"/>
              <w:numPr>
                <w:ilvl w:val="0"/>
                <w:numId w:val="8"/>
              </w:numPr>
            </w:pPr>
            <w:r>
              <w:rPr/>
              <w:t xml:space="preserve">gescheiden beweging: sprongsgewijs dalen of stijgen</w:t>
            </w:r>
          </w:p>
          <w:p>
            <w:pPr>
              <w:pStyle w:val="ListParagraph"/>
              <w:numPr>
                <w:ilvl w:val="0"/>
                <w:numId w:val="8"/>
              </w:numPr>
            </w:pPr>
            <w:r>
              <w:rPr/>
              <w:t xml:space="preserve">parallelle beweging</w:t>
            </w:r>
          </w:p>
          <w:p>
            <w:pPr>
              <w:pStyle w:val="ListParagraph"/>
              <w:numPr>
                <w:ilvl w:val="0"/>
                <w:numId w:val="8"/>
              </w:numPr>
            </w:pPr>
            <w:r>
              <w:rPr/>
              <w:t xml:space="preserve">tegenbeweging</w:t>
            </w:r>
          </w:p>
          <w:p>
            <w:pPr>
              <w:pStyle w:val="ListParagraph"/>
              <w:numPr>
                <w:ilvl w:val="0"/>
                <w:numId w:val="8"/>
              </w:numPr>
            </w:pPr>
            <w:r>
              <w:rPr/>
              <w:t xml:space="preserve">zijdelingse beweging: één stem houdt een liggende beweging aan</w:t>
            </w:r>
          </w:p>
          <w:p>
            <w:pPr>
              <w:pStyle w:val="ListParagraph"/>
              <w:numPr>
                <w:ilvl w:val="0"/>
                <w:numId w:val="8"/>
              </w:numPr>
            </w:pPr>
            <w:r>
              <w:rPr/>
              <w:t xml:space="preserve">vermijden van de vergrote seconde in de kleine tertstoonaard en de vergrote kwart in de grote tertstoonaard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stemvoeringen herkennen, toelichten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omvang der stemmen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stemsoort herkennen en toelichten dat elke stemsoort (sopraan, alt, tenor, bas) zijn omvang volgens de vocale tessituur</w:t>
              <w:br/>
              <w:t xml:space="preserve">niet mag overschrijden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graden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tonale noten/graden (I – V – IV) en de nevenakkoorden (II – VI – III – VII ) herkennen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Harmonisch</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verbindingsregels hoofdakkoorden:</w:t>
            </w:r>
          </w:p>
          <w:p>
            <w:pPr>
              <w:pStyle w:val="ListParagraph"/>
              <w:numPr>
                <w:ilvl w:val="0"/>
                <w:numId w:val="9"/>
              </w:numPr>
            </w:pPr>
            <w:r>
              <w:rPr/>
              <w:t xml:space="preserve">de verbindingen tussen I-IV en I-V gebeuren door één stem  als gemeenschappelijke noot aan te houden en een samengevoegde beweging in de andere stemmen</w:t>
            </w:r>
          </w:p>
          <w:p>
            <w:pPr>
              <w:pStyle w:val="ListParagraph"/>
              <w:numPr>
                <w:ilvl w:val="0"/>
                <w:numId w:val="9"/>
              </w:numPr>
            </w:pPr>
            <w:r>
              <w:rPr/>
              <w:t xml:space="preserve">bij de verbindingsregels tussen IV en V maken drie stemmen een tegenbeweging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verbindingsregels bij hoofdakkoorden herkennen, toelichten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verbindingsregels nevenakkoorden:</w:t>
            </w:r>
          </w:p>
          <w:p>
            <w:pPr>
              <w:pStyle w:val="ListParagraph"/>
              <w:numPr>
                <w:ilvl w:val="0"/>
                <w:numId w:val="10"/>
              </w:numPr>
            </w:pPr>
            <w:r>
              <w:rPr/>
              <w:t xml:space="preserve">bij kwintverbindingen bij de nevenakkoorden (II, VI en III) wordt met de bas een kwintsprong gemaakt</w:t>
            </w:r>
          </w:p>
          <w:p>
            <w:pPr>
              <w:pStyle w:val="ListParagraph"/>
              <w:numPr>
                <w:ilvl w:val="0"/>
                <w:numId w:val="10"/>
              </w:numPr>
            </w:pPr>
            <w:r>
              <w:rPr/>
              <w:t xml:space="preserve">bij secondeverbindingen maakt de basstem een stijgende of dalende beweging met samengevoegde graden (IV-V of V-VI)</w:t>
            </w:r>
          </w:p>
          <w:p>
            <w:pPr>
              <w:pStyle w:val="ListParagraph"/>
              <w:numPr>
                <w:ilvl w:val="0"/>
                <w:numId w:val="10"/>
              </w:numPr>
            </w:pPr>
            <w:r>
              <w:rPr/>
              <w:t xml:space="preserve">bij tertsverbindingen maakt de bas een dalende tertssprong (of een stijgende sextsprong)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verbindingsregels bij nevenakkoorden herkennen, toelichten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cadens:</w:t>
            </w:r>
          </w:p>
          <w:p>
            <w:pPr>
              <w:pStyle w:val="ListParagraph"/>
              <w:numPr>
                <w:ilvl w:val="0"/>
                <w:numId w:val="11"/>
              </w:numPr>
            </w:pPr>
            <w:r>
              <w:rPr/>
              <w:t xml:space="preserve">de volmaakte cadens: IV-I-V-I of IV-V-I</w:t>
            </w:r>
          </w:p>
          <w:p>
            <w:pPr>
              <w:pStyle w:val="ListParagraph"/>
              <w:numPr>
                <w:ilvl w:val="0"/>
                <w:numId w:val="11"/>
              </w:numPr>
            </w:pPr>
            <w:r>
              <w:rPr/>
              <w:t xml:space="preserve">de plagale cadens: IV-I</w:t>
            </w:r>
          </w:p>
          <w:p>
            <w:pPr>
              <w:pStyle w:val="ListParagraph"/>
              <w:numPr>
                <w:ilvl w:val="0"/>
                <w:numId w:val="11"/>
              </w:numPr>
            </w:pPr>
            <w:r>
              <w:rPr/>
              <w:t xml:space="preserve">de halve cadens: IV-II-V of VI-II-V</w:t>
            </w:r>
          </w:p>
          <w:p>
            <w:pPr>
              <w:pStyle w:val="ListParagraph"/>
              <w:numPr>
                <w:ilvl w:val="0"/>
                <w:numId w:val="11"/>
              </w:numPr>
            </w:pPr>
            <w:r>
              <w:rPr/>
              <w:t xml:space="preserve">de gebroken cadens: IV-V-VI of II-V-VI</w:t>
            </w:r>
          </w:p>
          <w:p>
            <w:pPr>
              <w:pStyle w:val="ListParagraph"/>
              <w:numPr>
                <w:ilvl w:val="0"/>
                <w:numId w:val="11"/>
              </w:numPr>
            </w:pPr>
            <w:r>
              <w:rPr/>
              <w:t xml:space="preserve">de frygische cadens: V-VIb</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schrijven van de juiste cadens aan het einde van een zin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harmonische ligging:</w:t>
            </w:r>
          </w:p>
          <w:p>
            <w:pPr>
              <w:pStyle w:val="ListParagraph"/>
              <w:numPr>
                <w:ilvl w:val="0"/>
                <w:numId w:val="12"/>
              </w:numPr>
            </w:pPr>
            <w:r>
              <w:rPr/>
              <w:t xml:space="preserve">de enge ligging: de drie bovenstemmen nemen de op elkaar volgende noten van het akkoord</w:t>
            </w:r>
          </w:p>
          <w:p>
            <w:pPr>
              <w:pStyle w:val="ListParagraph"/>
              <w:numPr>
                <w:ilvl w:val="0"/>
                <w:numId w:val="12"/>
              </w:numPr>
            </w:pPr>
            <w:r>
              <w:rPr/>
              <w:t xml:space="preserve">wijde ligging: de drie bovenstemmen laten tussen elkaar een noot van het akkoord weg</w:t>
            </w:r>
          </w:p>
          <w:p>
            <w:pPr>
              <w:pStyle w:val="ListParagraph"/>
              <w:numPr>
                <w:ilvl w:val="0"/>
                <w:numId w:val="12"/>
              </w:numPr>
            </w:pPr>
            <w:r>
              <w:rPr/>
              <w:t xml:space="preserve">gemengde ligging: in alle andere gevallen</w:t>
            </w:r>
          </w:p>
          <w:p>
            <w:pPr>
              <w:pStyle w:val="ListParagraph"/>
              <w:numPr>
                <w:ilvl w:val="0"/>
                <w:numId w:val="12"/>
              </w:numPr>
            </w:pPr>
            <w:r>
              <w:rPr/>
              <w:t xml:space="preserve">de afstand tussen bas en tenor telt niet mee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bepaling van deze harmonische liggingen bij een opgegeven sopraan- of baspartij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volmaakte drieklank, sext- en kwart-sextligging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3"/>
              </w:numPr>
            </w:pPr>
            <w:r>
              <w:rPr/>
              <w:t xml:space="preserve">de volmaakte drieklank in zijn grondligging waarbij de basnoot de grondnoot is, toepassen</w:t>
            </w:r>
          </w:p>
          <w:p>
            <w:pPr>
              <w:pStyle w:val="ListParagraph"/>
              <w:numPr>
                <w:ilvl w:val="0"/>
                <w:numId w:val="13"/>
              </w:numPr>
            </w:pPr>
            <w:r>
              <w:rPr/>
              <w:t xml:space="preserve">de sextligging waarbij de terts van het akkoord in de basnoot geschreven wordt, toepassen</w:t>
            </w:r>
          </w:p>
          <w:p>
            <w:pPr>
              <w:pStyle w:val="ListParagraph"/>
              <w:numPr>
                <w:ilvl w:val="0"/>
                <w:numId w:val="13"/>
              </w:numPr>
            </w:pPr>
            <w:r>
              <w:rPr/>
              <w:t xml:space="preserve">de kwart-sextligging waarbij de kwint van het akkoord als basnoot gebruikt wordt,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vierklank – het dominant septiemakkoord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septiemakkoord met de juiste opbouw in de grondligging, de eerste omkering, de tweede omkering en de derde omkering</w:t>
              <w:br/>
              <w:t xml:space="preserve">noteren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parallelle, naslaande en bedekte octaven en kwinten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herkennen en toelichten dat niet gewenste verbindingen, telkens tussen twee dezelfde stemmen en twee akkoorden van een</w:t>
              <w:br/>
              <w:t xml:space="preserve">verschillende graad, niet geschreven mogen worden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modulaties en chromatische wijzigingen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verbindingen met hoofdakkoorden naar naburige toonaarden (bv. la klein naar mi klein) laten moduleren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verbindingen met hoofdakkoorden naar meer verwijderde toonaarden (bijvoorbeeld van do groot naar re groot) met een laddervreemde noot in de opgegeven sopraan- of basopgave laten moduleren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verbindingen met hoofdakkoorden via sextakkoorden en dominantseptiemakkoorden laten moduleren (via een aanduiding</w:t>
              <w:br/>
              <w:t xml:space="preserve">op de partituur boven de opgave, bijvoorbeeld van sol groot naar do groot)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Analyse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Formeel</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eenvoudige tweestemmigheid tot en met polyfone en homofone schrijfstijl (imitatie en canon inbegrepen)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partituur in een ruimer historisch kader met behulp van de parameters specifiek voor een bepaald genre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ontwikkeling van meerstemmigheid vanuit historisch perspectief (zoals gregoriaans, ars antiqua, ars nova, polyfonie, begeleide monodie, homofonie, close harmony)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vormen van een partituur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rondovorm, blues, sonatevorm, fugavorm herkennen en de verschillende onderdelen aanduiden en benoemen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Harmonisch-melodisch-ritmisch</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akkoorden becijferen in grond-, sext- en kwartsextligging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functioneel becijferen van akkoordnoten als reële noten van een akkoord/graad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akkoordnoten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akkoordnoten functioneel (T, S, D – tonica, subdominant, dominant)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akkoordnoten die als TD en DD (tussendominant en dubbeldominant) zijn geschreven/bedoeld zijn,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sequensen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sequensen in de opgegeven partij herkennen en aanduiden in dezelfde en eventueel in de overige stemmen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modulatie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laddervreemde noot herkennen en de becijfering van het akkoord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cadens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basopgave (en sopraanopgave) herkennen wanneer er een cadens moet aangeduid worden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lange noot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gepast aanduiden van een lange noot in de bas- of sopraanopgave met bijvoorbeeld een kwart-sext- en een kwintakkoord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ritme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terugkomende ritmes herkennen in de overige stemmen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metrum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gepaste akkoorden en ritmes vanuit het maatcijfer (sterkte tijden / zwakke tijden) herkennen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stemvoering :</w:t>
            </w:r>
          </w:p>
          <w:p>
            <w:pPr>
              <w:pStyle w:val="ListParagraph"/>
              <w:numPr>
                <w:ilvl w:val="0"/>
                <w:numId w:val="14"/>
              </w:numPr>
            </w:pPr>
            <w:r>
              <w:rPr/>
              <w:t xml:space="preserve">samengevoegde beweging: trapsgewijs dalen of stijgen</w:t>
            </w:r>
          </w:p>
          <w:p>
            <w:pPr>
              <w:pStyle w:val="ListParagraph"/>
              <w:numPr>
                <w:ilvl w:val="0"/>
                <w:numId w:val="14"/>
              </w:numPr>
            </w:pPr>
            <w:r>
              <w:rPr/>
              <w:t xml:space="preserve">gescheiden beweging: sprongsgewijs dalen of stijgen</w:t>
            </w:r>
          </w:p>
          <w:p>
            <w:pPr>
              <w:pStyle w:val="ListParagraph"/>
              <w:numPr>
                <w:ilvl w:val="0"/>
                <w:numId w:val="14"/>
              </w:numPr>
            </w:pPr>
            <w:r>
              <w:rPr/>
              <w:t xml:space="preserve">parallelle beweging</w:t>
            </w:r>
          </w:p>
          <w:p>
            <w:pPr>
              <w:pStyle w:val="ListParagraph"/>
              <w:numPr>
                <w:ilvl w:val="0"/>
                <w:numId w:val="14"/>
              </w:numPr>
            </w:pPr>
            <w:r>
              <w:rPr/>
              <w:t xml:space="preserve">tegenbeweging</w:t>
            </w:r>
          </w:p>
          <w:p>
            <w:pPr>
              <w:pStyle w:val="ListParagraph"/>
              <w:numPr>
                <w:ilvl w:val="0"/>
                <w:numId w:val="14"/>
              </w:numPr>
            </w:pPr>
            <w:r>
              <w:rPr/>
              <w:t xml:space="preserve">zijdelingse beweging: één stem houdt een liggende beweging aan</w:t>
            </w:r>
          </w:p>
          <w:p>
            <w:pPr>
              <w:pStyle w:val="ListParagraph"/>
              <w:numPr>
                <w:ilvl w:val="0"/>
                <w:numId w:val="14"/>
              </w:numPr>
            </w:pPr>
            <w:r>
              <w:rPr/>
              <w:t xml:space="preserve">vermijden van de vergrote seconde in de kleine tertstoonaard en de vergrote kwart in de grote tertstoonaard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stemvoeringen (stemkruisingen)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omvang der stemmen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toelichten en toepassen dat elke stemsoort (sopraan, alt, tenor, bas) zijn omvang volgens de vocale tessituur niet mag overschrijden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graden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tonale noten/graden (I – V – IV) en de nevenakkoorden (II – VI – III) – VII waarbij de leidtoon nooit als grondnoot van een akkoord</w:t>
              <w:br/>
              <w:t xml:space="preserve">wordt gebruikt,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cadens:</w:t>
            </w:r>
          </w:p>
          <w:p>
            <w:pPr>
              <w:pStyle w:val="ListParagraph"/>
              <w:numPr>
                <w:ilvl w:val="0"/>
                <w:numId w:val="15"/>
              </w:numPr>
            </w:pPr>
            <w:r>
              <w:rPr/>
              <w:t xml:space="preserve">volmaakte cadens: IV-I-V-I of IV-V-I</w:t>
            </w:r>
          </w:p>
          <w:p>
            <w:pPr>
              <w:pStyle w:val="ListParagraph"/>
              <w:numPr>
                <w:ilvl w:val="0"/>
                <w:numId w:val="15"/>
              </w:numPr>
            </w:pPr>
            <w:r>
              <w:rPr/>
              <w:t xml:space="preserve">plagale cadens: IV-I</w:t>
            </w:r>
          </w:p>
          <w:p>
            <w:pPr>
              <w:pStyle w:val="ListParagraph"/>
              <w:numPr>
                <w:ilvl w:val="0"/>
                <w:numId w:val="15"/>
              </w:numPr>
            </w:pPr>
            <w:r>
              <w:rPr/>
              <w:t xml:space="preserve">halve cadens: IV-II-V of VI-II-V</w:t>
            </w:r>
          </w:p>
          <w:p>
            <w:pPr>
              <w:pStyle w:val="ListParagraph"/>
              <w:numPr>
                <w:ilvl w:val="0"/>
                <w:numId w:val="15"/>
              </w:numPr>
            </w:pPr>
            <w:r>
              <w:rPr/>
              <w:t xml:space="preserve">gebroken cadens: IV-V-VI of II-V-VI</w:t>
            </w:r>
          </w:p>
          <w:p>
            <w:pPr>
              <w:pStyle w:val="ListParagraph"/>
              <w:numPr>
                <w:ilvl w:val="0"/>
                <w:numId w:val="15"/>
              </w:numPr>
            </w:pPr>
            <w:r>
              <w:rPr/>
              <w:t xml:space="preserve"> frygische cadens: V-VIb</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cadensen aan het einde van een zin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harmonische ligging:</w:t>
            </w:r>
          </w:p>
          <w:p>
            <w:pPr>
              <w:pStyle w:val="ListParagraph"/>
              <w:numPr>
                <w:ilvl w:val="0"/>
                <w:numId w:val="16"/>
              </w:numPr>
            </w:pPr>
            <w:r>
              <w:rPr/>
              <w:t xml:space="preserve">de enge ligging: de drie bovenstemmen nemen de op elkaar volgende noten van het akkoord</w:t>
            </w:r>
          </w:p>
          <w:p>
            <w:pPr>
              <w:pStyle w:val="ListParagraph"/>
              <w:numPr>
                <w:ilvl w:val="0"/>
                <w:numId w:val="16"/>
              </w:numPr>
            </w:pPr>
            <w:r>
              <w:rPr/>
              <w:t xml:space="preserve">wijde ligging: de drie bovenstemmen laten tussen elkaar een noot van het akkoord weg</w:t>
            </w:r>
          </w:p>
          <w:p>
            <w:pPr>
              <w:pStyle w:val="ListParagraph"/>
              <w:numPr>
                <w:ilvl w:val="0"/>
                <w:numId w:val="16"/>
              </w:numPr>
            </w:pPr>
            <w:r>
              <w:rPr/>
              <w:t xml:space="preserve">gemengde ligging: in alle andere gevallen</w:t>
            </w:r>
          </w:p>
          <w:p>
            <w:pPr>
              <w:pStyle w:val="ListParagraph"/>
              <w:numPr>
                <w:ilvl w:val="0"/>
                <w:numId w:val="16"/>
              </w:numPr>
            </w:pPr>
            <w:r>
              <w:rPr/>
              <w:t xml:space="preserve">de afstand tussen bas en tenor telt niet mee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bepaling van deze harmonische liggingen bij een opgegeven sopraan- of baspartij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volmaakte-, sext- en kwart-sextligging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bepaling en becijfering van de volmaakte drieklank in zijn grondligging herkennen (basnoot is de grondnoot)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sextligging en becijfering herkennen (de terts van het akkoord wordt in de basnoot geschreven)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kwart-sextligging herkennen (de kwint van het akkoord wordt als basnoot gebruikt)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vierklank – het dominant septiemakkoord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septiemakkoord met de juiste opbouw in de grondligging, de eerste omkering, de tweede omkering en de derde omkering</w:t>
              <w:br/>
              <w:t xml:space="preserve">herkennen en de becijfering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parallelle, naslaande en bedekte octaven en kwinten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niet gewenste verbindingen, telkens tussen twee dezelfde stemmen en twee akkoorden van een verschillende graad,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modulaties en chromatische wijzigingen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verbindingen met hoofdakkoorden en het moduleren naar naburige toonaarden (bv. la klein naar mi klein)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verbindingen met hoofdakkoorden naar meer verwijderde toonaarden (bijvoorbeeld van do groot naar re groot) met een laddervreemde noot in de opgegeven sopraan- of basopgave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versieringen:</w:t>
            </w:r>
          </w:p>
          <w:p>
            <w:pPr>
              <w:pStyle w:val="ListParagraph"/>
              <w:numPr>
                <w:ilvl w:val="0"/>
                <w:numId w:val="17"/>
              </w:numPr>
            </w:pPr>
            <w:r>
              <w:rPr/>
              <w:t xml:space="preserve">wisselnoot</w:t>
            </w:r>
          </w:p>
          <w:p>
            <w:pPr>
              <w:pStyle w:val="ListParagraph"/>
              <w:numPr>
                <w:ilvl w:val="0"/>
                <w:numId w:val="17"/>
              </w:numPr>
            </w:pPr>
            <w:r>
              <w:rPr/>
              <w:t xml:space="preserve">doorgangsnoot</w:t>
            </w:r>
          </w:p>
          <w:p>
            <w:pPr>
              <w:pStyle w:val="ListParagraph"/>
              <w:numPr>
                <w:ilvl w:val="0"/>
                <w:numId w:val="17"/>
              </w:numPr>
            </w:pPr>
            <w:r>
              <w:rPr/>
              <w:t xml:space="preserve">vertraging</w:t>
            </w:r>
          </w:p>
          <w:p>
            <w:pPr>
              <w:pStyle w:val="ListParagraph"/>
              <w:numPr>
                <w:ilvl w:val="0"/>
                <w:numId w:val="17"/>
              </w:numPr>
            </w:pPr>
            <w:r>
              <w:rPr/>
              <w:t xml:space="preserve">anticipatie</w:t>
            </w:r>
          </w:p>
          <w:p>
            <w:pPr>
              <w:pStyle w:val="ListParagraph"/>
              <w:numPr>
                <w:ilvl w:val="0"/>
                <w:numId w:val="17"/>
              </w:numPr>
            </w:pPr>
            <w:r>
              <w:rPr/>
              <w:t xml:space="preserve"> appogiatuur</w:t>
            </w:r>
          </w:p>
          <w:p>
            <w:pPr>
              <w:pStyle w:val="ListParagraph"/>
              <w:numPr>
                <w:ilvl w:val="0"/>
                <w:numId w:val="17"/>
              </w:numPr>
            </w:pPr>
            <w:r>
              <w:rPr/>
              <w:t xml:space="preserve">afspringende noot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versieringen herkennen en toelichten (wisselnoot , doorgangsnoot , vertraging , anticipatie , appogiatuur en afspringende noot)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Je bereidt een gedetailleerde analyse voor: </w:t>
        <w:br/>
        <w:t>•</w:t>
        <w:tab/>
        <w:t>Je geeft deze analyse in tweevoud af aan de jury op de dag van het examen. </w:t>
        <w:br/>
        <w:t>•</w:t>
        <w:tab/>
        <w:t>Deze gedetailleerde analyse gebeurt aan de hand van ofwel een werk in één van de polyfone vormen (fuga, inventie, …) ofwel een werk in één van de homofone vormen (ABA-vorm, liedvorm, rondovorm, hoofdvorm (en sonatevorm).</w:t>
        <w:br/>
        <w:t>•</w:t>
        <w:tab/>
        <w:t>Voor de gedetailleerde analyse kan je één van jouw partituren nemen die je speelt op één van je examens. Je moet op het examen mondeling en zelfstandig deze analyse kunnen verdedigen. </w:t>
        <w:br/>
        <w:t>•</w:t>
        <w:tab/>
        <w:t>De gedetailleerde analyse bespreek je in grote vorm (thema’s, variaties, delen, cadens, pedaal, …) en in detail met melodische opbouw in voor- en nazin alsook aanduiding toonaarden en modulaties (hoe worden die bereikt) – cadensen (hoe en benoemen) en andere noodzakelijke items voor de grondige analyse. </w:t>
        <w:br/>
        <w:t>•</w:t>
        <w:tab/>
        <w:t>Jouw schriftelijke voorbereiding dient voor jou enkel als leidraad en maakt geen deel uit van het examen. Deze aparte voorbereiding (naast de partituur) wordt ook niet gequoteerd, de mondelinge verdediging wel. Let wel: jouw aanduidingen in structuur en harmonie op de partituur zijn wel nodig. </w:t>
        <w:b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onderdeel 'harmonische schriftuur' duurt 120 minuten.</w:t>
      </w:r>
    </w:p>
    <w:p>
      <w:pPr>
        <w:jc w:val="both"/>
      </w:pPr>
      <w:r>
        <w:t xml:space="preserve">Het onderdeel 'analyse opgelegd werk' duurt ongeveer 30 minuten.</w:t>
      </w:r>
    </w:p>
    <w:p>
      <w:pPr>
        <w:jc w:val="both"/>
      </w:pPr>
      <w:r>
        <w:t xml:space="preserve">Het onderdeel 'gedetailleerde analyse' duurt ongeveer 15 minuten.</w:t>
      </w:r>
    </w:p>
    <w:p>
      <w:pPr>
        <w:jc w:val="both"/>
      </w:pPr>
      <w:r>
        <w:t xml:space="preserve"/>
      </w:r>
    </w:p>
    <w:p>
      <w:pPr>
        <w:jc w:val="both"/>
      </w:pPr>
      <w:r>
        <w:t xml:space="preserve">Het examen gaat door op een externe locatie. De locatie en uren worden meegedeeld op het platform vanaf het moment dat je jezelf inschrijft voor dit vak. </w:t>
      </w:r>
    </w:p>
    <w:p>
      <w:pPr>
        <w:jc w:val="both"/>
      </w:pPr>
      <w:r>
        <w:t xml:space="preserve">Meer info over de locatie kan je vinden via: </w:t>
      </w:r>
    </w:p>
    <w:p>
      <w:pPr>
        <w:jc w:val="both"/>
      </w:pPr>
      <w:r>
        <w:t xml:space="preserve">https://examencommissiesecundaironderwijs.be/examenlocaties</w:t>
      </w:r>
    </w:p>
    <w:p>
      <w:pPr>
        <w:jc w:val="both"/>
      </w:pPr>
      <w:r>
        <w:t xml:space="preserve"/>
      </w:r>
    </w:p>
    <w:p>
      <w:pPr>
        <w:jc w:val="both"/>
      </w:pPr>
      <w:r>
        <w:t xml:space="preserve">- Het onderdeel 'harmonische schriftuur' is een schriftelijk examen waarbij je twee examenbladen krijgt met een sopraan- en een basopgave. </w:t>
      </w:r>
    </w:p>
    <w:p>
      <w:pPr>
        <w:jc w:val="both"/>
      </w:pPr>
      <w:r>
        <w:t xml:space="preserve"/>
      </w:r>
    </w:p>
    <w:p>
      <w:pPr>
        <w:jc w:val="both"/>
      </w:pPr>
      <w:r>
        <w:t xml:space="preserve">Je krijgt een opgave met een sopraanpartij en een baspartij. De gegeven sopraan- en basopgave moet worden voorzien van een vierstemmige vocale harmonie. Een becijfering mag maar moet niet. Deze becijfering wordt enkel als verduidelijking gezien en wordt niet mee opgenomen in de beoordeling. </w:t>
      </w:r>
    </w:p>
    <w:p>
      <w:pPr>
        <w:jc w:val="both"/>
      </w:pPr>
      <w:r>
        <w:t xml:space="preserve"/>
      </w:r>
    </w:p>
    <w:p>
      <w:pPr>
        <w:jc w:val="both"/>
      </w:pPr>
      <w:r>
        <w:t xml:space="preserve">Je hebt kennis van en je weet alle harmonische verbindingen toe te passen van de tonaal functionele harmonie. Dat wil zeggen, kwint- sext-, kwart- sext-  en dominantseptiemakkoorden zijn gekend en moet je kunnen toepassen. Deze akkoorden moet je eveneens in omkering kunnen toepassen, alsook modulaties naar de dominanttoonaard en paralleltoonaard. De nevenseptiemen mag je ook schrijven maar dat hoeft niet. </w:t>
      </w:r>
    </w:p>
    <w:p>
      <w:pPr>
        <w:jc w:val="both"/>
      </w:pPr>
      <w:r>
        <w:t xml:space="preserve"/>
      </w:r>
    </w:p>
    <w:p>
      <w:pPr>
        <w:jc w:val="both"/>
      </w:pPr>
      <w:r>
        <w:t xml:space="preserve">Je kent ook de voornaamste stemvoerings- en cadenspatronen, thematische herhalingen en variaties, progressies en sequensen. </w:t>
      </w:r>
    </w:p>
    <w:p>
      <w:pPr>
        <w:jc w:val="both"/>
      </w:pPr>
      <w:r>
        <w:t xml:space="preserve"/>
      </w:r>
    </w:p>
    <w:p>
      <w:pPr>
        <w:jc w:val="both"/>
      </w:pPr>
      <w:r>
        <w:t xml:space="preserve">- De onderdelen ‘analyse opgelegd werk’ en de ‘gedetailleerde analyse’ zijn mondelinge examens.</w:t>
      </w:r>
    </w:p>
    <w:p>
      <w:pPr>
        <w:jc w:val="both"/>
      </w:pPr>
      <w:r>
        <w:t xml:space="preserve">Je hebt kennis vanaf de tweestemmigheid tot en met de polyfone en homofone stemvoeringen met de imitatie en de canon. </w:t>
      </w:r>
    </w:p>
    <w:p>
      <w:pPr>
        <w:jc w:val="both"/>
      </w:pPr>
      <w:r>
        <w:t xml:space="preserve"/>
      </w:r>
    </w:p>
    <w:p>
      <w:pPr>
        <w:jc w:val="both"/>
      </w:pPr>
      <w:r>
        <w:t xml:space="preserve"> De 'gedetailleerde analyse':  je bereidt een gedetailleerde analyse voor aan de hand van ofwel een werk in één van de polyfone vormen (fuga, inventie, …) ofwel een werk in één van de homofone vormen (ABA-vorm, liedvorm, rondovorm, hoofdvorm (en sonatevorm). Je kan voor deze analyse één van jouw partituren nemen die je speelt op één van je examens. Je moet mondeling en zelfstandig jouw voorgelegde analyse kunnen verdedigen. </w:t>
      </w:r>
    </w:p>
    <w:p>
      <w:pPr>
        <w:jc w:val="both"/>
      </w:pPr>
      <w:r>
        <w:t xml:space="preserve"/>
      </w:r>
    </w:p>
    <w:p>
      <w:pPr>
        <w:jc w:val="both"/>
      </w:pPr>
      <w:r>
        <w:t xml:space="preserve">De 'analyse opgelegd werk': Je krijgt op het examen de opdracht ‘analyse van een niet zelf gekozen compositie’. Je krijgt hiervoor een half uur voorbereidingstijd. Je analyseert het werk op vormniveau, op harmonisch en op melodisch niveau (zie inhoud harmonische schriftuur).</w:t>
      </w:r>
    </w:p>
    <w:p>
      <w:pPr>
        <w:jc w:val="both"/>
      </w:pPr>
      <w:r>
        <w:t xml:space="preserve"/>
      </w:r>
    </w:p>
    <w:p>
      <w:pPr>
        <w:jc w:val="both"/>
      </w:pPr>
      <w:r>
        <w:t xml:space="preserve"/>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Een blauwe of zwarte balpen, een potlood en een gom.</w:t>
      </w:r>
    </w:p>
    <w:p>
      <w:pPr>
        <w:jc w:val="both"/>
      </w:pPr>
      <w:r>
        <w:t xml:space="preserve">Het onderdeel 'harmonische schriftuur', met de bas- en sopraanopgave, mag je schriftelijk oplossen. Je werkt best in potlood (neem een gom mee) om de overige drie stemmen op te schrijven. Zo kan je jouw oplossing bijwerken indien nodig. </w:t>
      </w:r>
    </w:p>
    <w:p>
      <w:pPr>
        <w:jc w:val="both"/>
      </w:pPr>
      <w:r>
        <w:t xml:space="preserve"/>
      </w:r>
    </w:p>
    <w:p>
      <w:pPr>
        <w:jc w:val="both"/>
      </w:pPr>
      <w:r>
        <w:t xml:space="preserve">Je brengt 2 kopieën (voor de jury) en 1 kopie (voor jezelf) mee van je gedetailleerde analyse. Dit wordt mee opgenomen in de evaluatie!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 en de examenbladen (harmonische schriftuur + analyse opgelegd werk)</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het onderdeel 'harmonische schriftuur' (50%):</w:t>
      </w:r>
    </w:p>
    <w:p>
      <w:pPr>
        <w:jc w:val="both"/>
      </w:pPr>
      <w:r>
        <w:t xml:space="preserve">- stemvoering – volledigheid akkoorden en bindingsregels tussen de akkoorden – technisch-harmonische fouten </w:t>
      </w:r>
    </w:p>
    <w:p>
      <w:pPr>
        <w:jc w:val="both"/>
      </w:pPr>
      <w:r>
        <w:t xml:space="preserve">- esthetisch: springen versus geleidelijke voortgang van elke stem onderling – stemvoering buitenstemmen </w:t>
      </w:r>
    </w:p>
    <w:p>
      <w:pPr>
        <w:jc w:val="both"/>
      </w:pPr>
      <w:r>
        <w:t xml:space="preserve">- er is geen giscorrectie</w:t>
      </w:r>
    </w:p>
    <w:p>
      <w:pPr>
        <w:jc w:val="both"/>
      </w:pPr>
      <w:r>
        <w:t xml:space="preserve"/>
      </w:r>
    </w:p>
    <w:p>
      <w:pPr>
        <w:jc w:val="both"/>
      </w:pPr>
      <w:r>
        <w:t xml:space="preserve">Voor het onderdeel  'gedetailleerde analyse' (25%):</w:t>
      </w:r>
    </w:p>
    <w:p>
      <w:pPr>
        <w:jc w:val="both"/>
      </w:pPr>
      <w:r>
        <w:t xml:space="preserve">- is de basis gelegd in het benoemen van de formele, harmonische, ritmische, metrische en melodische structuur </w:t>
      </w:r>
    </w:p>
    <w:p>
      <w:pPr>
        <w:jc w:val="both"/>
      </w:pPr>
      <w:r>
        <w:t xml:space="preserve"/>
      </w:r>
    </w:p>
    <w:p>
      <w:pPr>
        <w:jc w:val="both"/>
      </w:pPr>
      <w:r>
        <w:t xml:space="preserve">Voor het onderdeel 'analyse opgelegd werk' (25%): </w:t>
      </w:r>
    </w:p>
    <w:p>
      <w:pPr>
        <w:jc w:val="both"/>
      </w:pPr>
      <w:r>
        <w:t xml:space="preserve">- idem examen 'gedetailleerde analyse' – dit examen is niet uitgebreid (op één blad) </w:t>
      </w:r>
    </w:p>
    <w:p>
      <w:pPr>
        <w:jc w:val="both"/>
      </w:pPr>
      <w:r>
        <w:t xml:space="preserve"/>
      </w:r>
    </w:p>
    <w:p>
      <w:pPr>
        <w:jc w:val="both"/>
      </w:pPr>
      <w:r>
        <w:t xml:space="preserve"/>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onderdeel 'harmonische schriftuur'</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onderdeel 'gedetailleerde analyse'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onderdeel 'analyse opgelegd werk'</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handboeken en verwijzen we naar websites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Titel</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Auteur</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ISBN/Gegevens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Algemene muziekleer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Dresden, Sem</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9001 25800X</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Vademecum van de algemene muziekleer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Gistelinck, Daniël</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1091495076</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Muziekleer in theorie en praktijk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Schouten Henri</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9789049400422</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Algemene Muziekleer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Willemze, Theo</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9027418179</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Functionele Harmonie 1 en 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Geeurickx 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D/1985/2613/6 en D/2003/2135/2</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figuratie in harmonie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Geeurickx 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D/1969/0028/144</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Kwintessens, een praktische benadering van de harmonieleer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Tilanus, Robijn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90-71939-08-01</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Websites</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Websites</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hhtp://www.musica.nl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http://www2.siba.fi/kulttuuripalvelut/music.html</w:t>
              <w:br/>
              <w:t xml:space="preserve"/>
              <w:br/>
              <w:t xml:space="preserve">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http://www.wereldmuziek.startkabel.nl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https://www.composer.rowy.net/harmonieleer/Cursus-Harmonieleer.pdf</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www.ralfpisters.nl/teaching/cva/h1/harmonieleer.pdf</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https://nl.wikipedia.org/wiki/Harmonieleer</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http://www.nedmuz.nl/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www.mate.nl/werkervaring/muziekth%5B1%5D.pdf</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http://composer.rowy.net/harmonieleer_muziektheorie.html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https://www.codarts.nl/proefexamen-muziektheorie/</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