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toegepaste economie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leerplannummer 2006/116 (3de graad) van het GO!</w:t>
        <w:br/>
        <w:t>Leerplannummer O/2/2010/386 (3de graad) van het OVSG</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Voor het vak toegepaste economie moet je je vertrouwd maken met enkele essentiële begrippen uit het economische en juridische leven. De nadruk ligt hier op het opzoeken, het ordenen, het toepassen en het analyseren van de kennis als voorbereiding op het efficiënt functioneren in de samenleving.</w:t>
      </w:r>
    </w:p>
    <w:p>
      <w:r>
        <w:rPr/>
        <w:t xml:space="preserve"/>
      </w:r>
      <w:r>
        <w:rPr>
          <w:color w:val="00B050"/>
        </w:rPr>
        <w:t/>
      </w:r>
    </w:p>
    <w:p w14:paraId="70391787" w14:textId="3DB223A8" w:rsidR="00047953" w:rsidRDefault="001D02B3" w:rsidP="0082741A">
      <w:r>
        <w:rPr>
          <w:color w:val="00B050"/>
        </w:rPr>
        <w:t/>
      </w:r>
      <w:r>
        <w:t/>
      </w:r>
      <w:r>
        <w:rPr/>
        <w:t xml:space="preserve">Voor het onderdeel economie wordt er vooral aandacht besteed aan het gedrag van de gezinnen en krijg je antwoorden op de volgende vragen:</w:t>
        <w:br/>
        <w:t xml:space="preserve"> </w:t>
        <w:br/>
        <w:t xml:space="preserve"> </w:t>
        <w:br/>
        <w:t xml:space="preserve"/>
        <w:br/>
        <w:t xml:space="preserve"/>
      </w:r>
    </w:p>
    <w:p>
      <w:pPr>
        <w:pStyle w:val="ListParagraph"/>
        <w:numPr>
          <w:ilvl w:val="0"/>
          <w:numId w:val="8"/>
        </w:numPr>
      </w:pPr>
      <w:r>
        <w:rPr/>
        <w:t xml:space="preserve"> Wat zijn de behoeften van de gezinnen?</w:t>
      </w:r>
    </w:p>
    <w:p>
      <w:pPr>
        <w:pStyle w:val="ListParagraph"/>
        <w:numPr>
          <w:ilvl w:val="0"/>
          <w:numId w:val="8"/>
        </w:numPr>
      </w:pPr>
      <w:r>
        <w:rPr/>
        <w:t xml:space="preserve">Waarmee worden deze behoeften bevredigd?</w:t>
      </w:r>
    </w:p>
    <w:p>
      <w:pPr>
        <w:pStyle w:val="ListParagraph"/>
        <w:numPr>
          <w:ilvl w:val="0"/>
          <w:numId w:val="8"/>
        </w:numPr>
      </w:pPr>
      <w:r>
        <w:rPr/>
        <w:t xml:space="preserve">Hoe komen de gezinnen aan de middelen om hun behoeften te bevredigen?</w:t>
      </w:r>
    </w:p>
    <w:p>
      <w:pPr>
        <w:pStyle w:val="ListParagraph"/>
        <w:numPr>
          <w:ilvl w:val="0"/>
          <w:numId w:val="8"/>
        </w:numPr>
      </w:pPr>
      <w:r>
        <w:rPr/>
        <w:t xml:space="preserve">Welke gevaren houdt het aangaan van kredieten in?</w:t>
      </w:r>
    </w:p>
    <w:p>
      <w:pPr>
        <w:pStyle w:val="ListParagraph"/>
        <w:numPr>
          <w:ilvl w:val="0"/>
          <w:numId w:val="8"/>
        </w:numPr>
      </w:pPr>
      <w:r>
        <w:rPr/>
        <w:t xml:space="preserve">Hoe kunnen de gezinnen betalingen uitvoeren?</w:t>
      </w:r>
    </w:p>
    <w:p>
      <w:pPr>
        <w:pStyle w:val="ListParagraph"/>
        <w:numPr>
          <w:ilvl w:val="0"/>
          <w:numId w:val="8"/>
        </w:numPr>
      </w:pPr>
      <w:r>
        <w:rPr/>
        <w:t xml:space="preserve">Op welke wijze gaan de gezinnen met hun verworven inkomen om? (sparen, lenen, belastingen betalen, ...)</w:t>
      </w:r>
    </w:p>
    <w:p>
      <w:r>
        <w:rPr/>
        <w:t xml:space="preserve">Anderzijds wordt er ook aandacht besteed aan de rol van de bedrijven binnen de economische kringloop.</w:t>
        <w:br/>
        <w:t xml:space="preserve"/>
        <w:br/>
        <w:t xml:space="preserve">Het onderdeel recht richt zich op enkele algemene principes die je je eigen maakt. Vergelijkbaar met  het onderdeel economie ligt de nadruk hier op het toepassen en analyseren van de kennis als voorbereiding op het efficiënt functioneren in de samenleving.</w:t>
        <w:br/>
        <w:t xml:space="preserve"> </w:t>
        <w:br/>
        <w:t xml:space="preserve"> </w:t>
        <w:br/>
        <w:t xml:space="preserve"/>
        <w:br/>
        <w:t xml:space="preserve"/>
      </w:r>
    </w:p>
    <w:p>
      <w:pPr>
        <w:pStyle w:val="ListParagraph"/>
        <w:numPr>
          <w:ilvl w:val="0"/>
          <w:numId w:val="9"/>
        </w:numPr>
      </w:pPr>
      <w:r>
        <w:rPr/>
        <w:t xml:space="preserve">Nut van het recht</w:t>
      </w:r>
    </w:p>
    <w:p>
      <w:pPr>
        <w:pStyle w:val="ListParagraph"/>
        <w:numPr>
          <w:ilvl w:val="0"/>
          <w:numId w:val="9"/>
        </w:numPr>
      </w:pPr>
      <w:r>
        <w:rPr/>
        <w:t xml:space="preserve">De bronnen van het recht</w:t>
      </w:r>
    </w:p>
    <w:p>
      <w:pPr>
        <w:pStyle w:val="ListParagraph"/>
        <w:numPr>
          <w:ilvl w:val="0"/>
          <w:numId w:val="9"/>
        </w:numPr>
      </w:pPr>
      <w:r>
        <w:rPr/>
        <w:t xml:space="preserve">De gerechtelijke instellingen</w:t>
      </w:r>
    </w:p>
    <w:p>
      <w:pPr>
        <w:pStyle w:val="ListParagraph"/>
        <w:numPr>
          <w:ilvl w:val="0"/>
          <w:numId w:val="9"/>
        </w:numPr>
      </w:pPr>
      <w:r>
        <w:rPr/>
        <w:t xml:space="preserve">De verschillende soorten recht met hun specifieke kenmerken: personenrecht, zakenrecht, verbintenissenrecht, verzekeringen, arbeidsrecht en de sociale zekerheid.</w:t>
      </w:r>
    </w:p>
    <w:p>
      <w:r>
        <w:rPr/>
        <w:t xml:space="preserve">In het onderdeel courante contracten komen veel voorkomende contracten aan bod zoals een koopcontract, huurcontract, verzekeringen, ...</w:t>
        <w:br/>
        <w:t xml:space="preserve"/>
        <w:br/>
        <w:t xml:space="preserve"> </w:t>
        <w:br/>
        <w:t xml:space="preserve"/>
        <w:br/>
        <w:t xml:space="preserve"> </w:t>
        <w:br/>
        <w:t xml:space="preserve"/>
        <w:b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ECONOMIE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ECONOMIE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Inleiding en situering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w:t>
            </w:r>
          </w:p>
          <w:p>
            <w:pPr>
              <w:pStyle w:val="ListParagraph"/>
              <w:numPr>
                <w:ilvl w:val="0"/>
                <w:numId w:val="10"/>
              </w:numPr>
            </w:pPr>
            <w:r>
              <w:rPr/>
              <w:t xml:space="preserve">behoeften</w:t>
            </w:r>
          </w:p>
          <w:p>
            <w:pPr>
              <w:pStyle w:val="ListParagraph"/>
              <w:numPr>
                <w:ilvl w:val="0"/>
                <w:numId w:val="10"/>
              </w:numPr>
            </w:pPr>
            <w:r>
              <w:rPr/>
              <w:t xml:space="preserve">goederen en diensten</w:t>
            </w:r>
          </w:p>
          <w:p>
            <w:pPr>
              <w:pStyle w:val="ListParagraph"/>
              <w:numPr>
                <w:ilvl w:val="0"/>
                <w:numId w:val="10"/>
              </w:numPr>
            </w:pPr>
            <w:r>
              <w:rPr/>
              <w:t xml:space="preserve">produceren en consumeren</w:t>
            </w:r>
          </w:p>
          <w:p>
            <w:pPr>
              <w:pStyle w:val="ListParagraph"/>
              <w:numPr>
                <w:ilvl w:val="0"/>
                <w:numId w:val="10"/>
              </w:numPr>
            </w:pPr>
            <w:r>
              <w:rPr/>
              <w:t xml:space="preserve">productiefactoren (natuurlijke hulpbronnen, arbeid, kapitaal, ondernemerschap)</w:t>
            </w:r>
          </w:p>
          <w:p>
            <w:pPr>
              <w:pStyle w:val="ListParagraph"/>
              <w:numPr>
                <w:ilvl w:val="0"/>
                <w:numId w:val="10"/>
              </w:numPr>
            </w:pPr>
            <w:r>
              <w:rPr/>
              <w:t xml:space="preserve">economie</w:t>
            </w:r>
          </w:p>
          <w:p>
            <w:pPr>
              <w:pStyle w:val="ListParagraph"/>
              <w:numPr>
                <w:ilvl w:val="0"/>
                <w:numId w:val="10"/>
              </w:numPr>
            </w:pPr>
            <w:r>
              <w:rPr/>
              <w:t xml:space="preserve">welzijn en welvaart</w:t>
            </w:r>
          </w:p>
          <w:p>
            <w:pPr>
              <w:pStyle w:val="ListParagraph"/>
              <w:numPr>
                <w:ilvl w:val="0"/>
                <w:numId w:val="10"/>
              </w:numPr>
            </w:pPr>
            <w:r>
              <w:rPr/>
              <w:t xml:space="preserve">vrijetijdsbesteding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basisbegrippen kunnen omschrijven en illustreren met voorbeelden</w:t>
              <w:br/>
              <w:t xml:space="preserve"/>
              <w:br/>
              <w:t xml:space="preserve">dit geldt ook voor de begrippen produceren (productie) en consumeren (consumptie), materiële en immateriële producten, duurzame en niet duurzame producten, consumptie- en industriële producten, verbruiksgoederen en gebruiksgoederen, vrije en economische goederen, luxegoederen en levensnoodzakelijke goederen</w:t>
              <w:br/>
              <w:t xml:space="preserve"/>
              <w:br/>
              <w:t xml:space="preserve">de productiefactoren opsommen en illustreren met voorbeelden</w:t>
              <w:br/>
              <w:t xml:space="preserve"/>
              <w:br/>
              <w:t xml:space="preserve">het onderscheid tussen welzijn en welvaart toelichten en gebruiken in toepassingen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Economische kringloop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economische kringloop (met gezinnen, bedrijven en financiële instellingen) opbouwen en toelichten aan de hand van voorbeelden</w:t>
              <w:br/>
              <w:t xml:space="preserve"/>
              <w:br/>
              <w:t xml:space="preserve">de goederen- en geldstromen onderscheiden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Gezinnen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Inkomensvorming</w:t>
            </w:r>
          </w:p>
          <w:p>
            <w:pPr>
              <w:pStyle w:val="ListParagraph"/>
              <w:numPr>
                <w:ilvl w:val="0"/>
                <w:numId w:val="11"/>
              </w:numPr>
            </w:pPr>
            <w:r>
              <w:rPr/>
              <w:t xml:space="preserve">inkomen uit arbeid</w:t>
            </w:r>
          </w:p>
          <w:p>
            <w:pPr>
              <w:pStyle w:val="ListParagraph"/>
              <w:numPr>
                <w:ilvl w:val="1"/>
                <w:numId w:val="11"/>
              </w:numPr>
            </w:pPr>
            <w:r>
              <w:rPr/>
              <w:t xml:space="preserve">vergoeding van arbeid</w:t>
            </w:r>
          </w:p>
          <w:p>
            <w:pPr>
              <w:pStyle w:val="ListParagraph"/>
              <w:numPr>
                <w:ilvl w:val="1"/>
                <w:numId w:val="11"/>
              </w:numPr>
            </w:pPr>
            <w:r>
              <w:rPr/>
              <w:t xml:space="preserve">dienstverband versus zelfstandige ondernemer</w:t>
            </w:r>
          </w:p>
          <w:p>
            <w:pPr>
              <w:pStyle w:val="ListParagraph"/>
              <w:numPr>
                <w:ilvl w:val="1"/>
                <w:numId w:val="11"/>
              </w:numPr>
            </w:pPr>
            <w:r>
              <w:rPr/>
              <w:t xml:space="preserve">nominaal en reëel loon</w:t>
            </w:r>
          </w:p>
          <w:p>
            <w:pPr>
              <w:pStyle w:val="ListParagraph"/>
              <w:numPr>
                <w:ilvl w:val="0"/>
                <w:numId w:val="11"/>
              </w:numPr>
            </w:pPr>
            <w:r>
              <w:rPr/>
              <w:t xml:space="preserve">inkomen uit 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inkomensvorming uit arbeid in dienstverband omschrijven</w:t>
              <w:br/>
              <w:t xml:space="preserve"/>
              <w:br/>
              <w:t xml:space="preserve">de inkomensvorming uit arbeid als zelfstandige omschrijven</w:t>
              <w:br/>
              <w:t xml:space="preserve"/>
              <w:br/>
              <w:t xml:space="preserve">het nettoloon/nettowedde berekenen aan de hand van een opdracht met cijfergegevens</w:t>
              <w:br/>
              <w:t xml:space="preserve"/>
              <w:br/>
              <w:t xml:space="preserve">de betekenis van de rsz en de bedrijfsvoorheffing uitleggen</w:t>
              <w:br/>
              <w:t xml:space="preserve"/>
              <w:br/>
              <w:t xml:space="preserve">de begrippen nominaal en reëel loon (koopkracht) benoemen en aan de hand van een cijfervoorbeeld het onderscheid tussen nominaal en reëel loon maken</w:t>
              <w:br/>
              <w:t xml:space="preserve"/>
              <w:br/>
              <w:t xml:space="preserve">de inkomensvorming uit kapitaal omschrijven en toelichten (winst, intrest, huur, pacht, …)</w:t>
              <w:br/>
              <w:t xml:space="preserve"/>
              <w:br/>
              <w:t xml:space="preserve">het onderscheid tussen goederenkapitaal en geldkapitaal herkennen in een gegeven 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Gezinsbudget</w:t>
            </w:r>
          </w:p>
          <w:p>
            <w:pPr>
              <w:pStyle w:val="ListParagraph"/>
              <w:numPr>
                <w:ilvl w:val="0"/>
                <w:numId w:val="12"/>
              </w:numPr>
            </w:pPr>
            <w:r>
              <w:rPr/>
              <w:t xml:space="preserve">begrip en belang</w:t>
            </w:r>
          </w:p>
          <w:p>
            <w:pPr>
              <w:pStyle w:val="ListParagraph"/>
              <w:numPr>
                <w:ilvl w:val="0"/>
                <w:numId w:val="12"/>
              </w:numPr>
            </w:pPr>
            <w:r>
              <w:rPr/>
              <w:t xml:space="preserve">opstellen van een gezinsbudget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en het belang van een gezinsbudget omschrijven en verduidelijken</w:t>
              <w:br/>
              <w:t xml:space="preserve"/>
              <w:br/>
              <w:t xml:space="preserve">aan de hand van een concreet voorbeeld een eenvoudig gezinsbudget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Inkomensbesteding</w:t>
            </w:r>
          </w:p>
          <w:p>
            <w:pPr>
              <w:pStyle w:val="ListParagraph"/>
              <w:numPr>
                <w:ilvl w:val="0"/>
                <w:numId w:val="13"/>
              </w:numPr>
            </w:pPr>
            <w:r>
              <w:rPr/>
              <w:t xml:space="preserve">consumptie: aankopen van goederen en diensten</w:t>
            </w:r>
          </w:p>
          <w:p>
            <w:pPr>
              <w:pStyle w:val="ListParagraph"/>
              <w:numPr>
                <w:ilvl w:val="0"/>
                <w:numId w:val="13"/>
              </w:numPr>
            </w:pPr>
            <w:r>
              <w:rPr/>
              <w:t xml:space="preserve">sparen en beleggen</w:t>
            </w:r>
          </w:p>
          <w:p>
            <w:pPr>
              <w:pStyle w:val="ListParagraph"/>
              <w:numPr>
                <w:ilvl w:val="1"/>
                <w:numId w:val="13"/>
              </w:numPr>
            </w:pPr>
            <w:r>
              <w:rPr/>
              <w:t xml:space="preserve">motieven voor beleggen</w:t>
            </w:r>
          </w:p>
          <w:p>
            <w:pPr>
              <w:pStyle w:val="ListParagraph"/>
              <w:numPr>
                <w:ilvl w:val="1"/>
                <w:numId w:val="13"/>
              </w:numPr>
            </w:pPr>
            <w:r>
              <w:rPr/>
              <w:t xml:space="preserve">spaar- en beleggingsvormen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elementen van de inkomensbesteding (consumptie, sparen, en belastingen) kunnen omschrijven en van elkaar onderscheiden</w:t>
              <w:br/>
              <w:t xml:space="preserve"/>
              <w:br/>
              <w:t xml:space="preserve">uit statistieken die je krijgt kan je aflezen voor welk bedrag gezinnen hun inkomen besteden aan de consumptie van goederen en diensten</w:t>
              <w:br/>
              <w:t xml:space="preserve"/>
              <w:br/>
              <w:t xml:space="preserve">de verandering van het consumptiepatroon van de gezinnen onder invloed van diverse factoren (behoeften, opleiding, inkomen, …) verklaren</w:t>
              <w:br/>
              <w:t xml:space="preserve"/>
              <w:br/>
              <w:t xml:space="preserve">de begrippen sparen en beleggen omschrijven</w:t>
              <w:br/>
              <w:t xml:space="preserve"/>
              <w:br/>
              <w:t xml:space="preserve">enkele bepalende factoren bij de keuze van beleggingen toelichten</w:t>
              <w:br/>
              <w:t xml:space="preserve"/>
              <w:br/>
              <w:t xml:space="preserve">etisch beleggen beschrijven</w:t>
              <w:br/>
              <w:t xml:space="preserve"/>
              <w:br/>
              <w:t xml:space="preserve">een aantal spaar- en beleggingsvormen (spaarrekening, termijnrekening, kasbons, staatsbons, obligaties, aandelen) toelichten en onderling vergelijken met betrekking tot de volgende criteria: uitgever, looptijd, opvraagbaarheid (liquiditeit), opbrengst, risico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Belastingen</w:t>
              <w:br/>
              <w:t xml:space="preserve"/>
              <w:br/>
              <w:t xml:space="preserve"/>
            </w:r>
          </w:p>
          <w:p>
            <w:pPr>
              <w:pStyle w:val="ListParagraph"/>
              <w:numPr>
                <w:ilvl w:val="0"/>
                <w:numId w:val="14"/>
              </w:numPr>
            </w:pPr>
            <w:r>
              <w:rPr/>
              <w:t xml:space="preserve">noodzaak</w:t>
            </w:r>
          </w:p>
          <w:p>
            <w:pPr>
              <w:pStyle w:val="ListParagraph"/>
              <w:numPr>
                <w:ilvl w:val="0"/>
                <w:numId w:val="14"/>
              </w:numPr>
            </w:pPr>
            <w:r>
              <w:rPr/>
              <w:t xml:space="preserve">directe en indirecte belastingen</w:t>
            </w:r>
          </w:p>
          <w:p>
            <w:pPr>
              <w:pStyle w:val="ListParagraph"/>
              <w:numPr>
                <w:ilvl w:val="0"/>
                <w:numId w:val="14"/>
              </w:numPr>
            </w:pPr>
            <w:r>
              <w:rPr/>
              <w:t xml:space="preserve">de personenbelasting</w:t>
            </w:r>
          </w:p>
          <w:p>
            <w:pPr>
              <w:pStyle w:val="ListParagraph"/>
              <w:numPr>
                <w:ilvl w:val="0"/>
                <w:numId w:val="14"/>
              </w:numPr>
            </w:pPr>
            <w:r>
              <w:rPr/>
              <w:t xml:space="preserve">belastingaangifte</w:t>
            </w:r>
          </w:p>
          <w:p>
            <w:pPr>
              <w:pStyle w:val="ListParagraph"/>
              <w:numPr>
                <w:ilvl w:val="0"/>
                <w:numId w:val="14"/>
              </w:numPr>
            </w:pPr>
            <w:r>
              <w:rPr/>
              <w:t xml:space="preserve">aanslagbiljet</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van belastingen omschrijven en met voorbeelden aantonen</w:t>
              <w:br/>
              <w:t xml:space="preserve"/>
              <w:br/>
              <w:t xml:space="preserve">het onderscheid tussen directe en indirecte belastingen uitleggen en verduidelijken met voorbeelden</w:t>
              <w:br/>
              <w:t xml:space="preserve"/>
              <w:br/>
              <w:t xml:space="preserve">de inkomens die aan personenbelasting onderworpen worden bespreken</w:t>
              <w:br/>
              <w:t xml:space="preserve"/>
              <w:br/>
              <w:t xml:space="preserve">het systeem van progressieve belasting uitleggen</w:t>
              <w:br/>
              <w:t xml:space="preserve"/>
              <w:br/>
              <w:t xml:space="preserve">de bedoeling van diverse voorheffingen (bedrijfsvoorheffing, roerende en onroerende voorheffing)kunnen uitleggen</w:t>
              <w:br/>
              <w:t xml:space="preserve"/>
              <w:br/>
              <w:t xml:space="preserve">een eenvoudige ingevulde belastingaangifte toelichten</w:t>
              <w:br/>
              <w:t xml:space="preserve"/>
              <w:br/>
              <w:t xml:space="preserve">uit een aanslagbiljet relevante informatie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Betaling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Rechtstreekse betaling</w:t>
            </w:r>
          </w:p>
          <w:p>
            <w:pPr>
              <w:pStyle w:val="ListParagraph"/>
              <w:numPr>
                <w:ilvl w:val="0"/>
                <w:numId w:val="15"/>
              </w:numPr>
            </w:pPr>
            <w:r>
              <w:rPr/>
              <w:t xml:space="preserve">kwijting</w:t>
            </w:r>
          </w:p>
          <w:p>
            <w:pPr>
              <w:pStyle w:val="ListParagraph"/>
              <w:numPr>
                <w:ilvl w:val="0"/>
                <w:numId w:val="15"/>
              </w:numPr>
            </w:pPr>
            <w:r>
              <w:rPr/>
              <w:t xml:space="preserve">kwitantie (kwijtschrift)</w:t>
            </w:r>
          </w:p>
          <w:p>
            <w:pPr>
              <w:pStyle w:val="ListParagraph"/>
              <w:numPr>
                <w:ilvl w:val="0"/>
                <w:numId w:val="15"/>
              </w:numPr>
            </w:pPr>
            <w:r>
              <w:rPr/>
              <w:t xml:space="preserve">ontvangstbewijs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kwijting omschrijven</w:t>
              <w:br/>
              <w:t xml:space="preserve"/>
              <w:br/>
              <w:t xml:space="preserve">de kwijting herkennen en hanteren</w:t>
              <w:br/>
              <w:t xml:space="preserve"/>
              <w:br/>
              <w:t xml:space="preserve">het begrip kwitantie (kwijtschrift) omschrijven</w:t>
              <w:br/>
              <w:t xml:space="preserve"/>
              <w:br/>
              <w:t xml:space="preserve">de kwitantie (kwijtschrift) herkennen en hanteren</w:t>
              <w:br/>
              <w:t xml:space="preserve"/>
              <w:br/>
              <w:t xml:space="preserve">het begrijp ontvangstbewijs omschrijven</w:t>
              <w:br/>
              <w:t xml:space="preserve"/>
              <w:br/>
              <w:t xml:space="preserve">het ontvangstbewijs herkennen en hanteren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Onrechtstreekse betaling</w:t>
            </w:r>
          </w:p>
          <w:p>
            <w:pPr>
              <w:pStyle w:val="ListParagraph"/>
              <w:numPr>
                <w:ilvl w:val="0"/>
                <w:numId w:val="16"/>
              </w:numPr>
            </w:pPr>
            <w:r>
              <w:rPr/>
              <w:t xml:space="preserve">tussenkomst van de financiële instellingen</w:t>
            </w:r>
          </w:p>
          <w:p>
            <w:pPr>
              <w:pStyle w:val="ListParagraph"/>
              <w:numPr>
                <w:ilvl w:val="0"/>
                <w:numId w:val="16"/>
              </w:numPr>
            </w:pPr>
            <w:r>
              <w:rPr/>
              <w:t xml:space="preserve">betalingstechnieken</w:t>
            </w:r>
          </w:p>
          <w:p>
            <w:pPr>
              <w:pStyle w:val="ListParagraph"/>
              <w:numPr>
                <w:ilvl w:val="1"/>
                <w:numId w:val="16"/>
              </w:numPr>
            </w:pPr>
            <w:r>
              <w:rPr/>
              <w:t xml:space="preserve">storting</w:t>
            </w:r>
          </w:p>
          <w:p>
            <w:pPr>
              <w:pStyle w:val="ListParagraph"/>
              <w:numPr>
                <w:ilvl w:val="1"/>
                <w:numId w:val="16"/>
              </w:numPr>
            </w:pPr>
            <w:r>
              <w:rPr/>
              <w:t xml:space="preserve">overschrijving</w:t>
            </w:r>
          </w:p>
          <w:p>
            <w:pPr>
              <w:pStyle w:val="ListParagraph"/>
              <w:numPr>
                <w:ilvl w:val="1"/>
                <w:numId w:val="16"/>
              </w:numPr>
            </w:pPr>
            <w:r>
              <w:rPr/>
              <w:t xml:space="preserve">domiciliëring</w:t>
            </w:r>
          </w:p>
          <w:p>
            <w:pPr>
              <w:pStyle w:val="ListParagraph"/>
              <w:numPr>
                <w:ilvl w:val="1"/>
                <w:numId w:val="16"/>
              </w:numPr>
            </w:pPr>
            <w:r>
              <w:rPr/>
              <w:t xml:space="preserve">permanente of doorlopende opdracht</w:t>
            </w:r>
          </w:p>
          <w:p>
            <w:pPr>
              <w:pStyle w:val="ListParagraph"/>
              <w:numPr>
                <w:ilvl w:val="1"/>
                <w:numId w:val="16"/>
              </w:numPr>
            </w:pPr>
            <w:r>
              <w:rPr/>
              <w:t xml:space="preserve">elektronische betaling: debetkaart of kredietkaart</w:t>
            </w:r>
          </w:p>
          <w:p>
            <w:pPr>
              <w:pStyle w:val="ListParagraph"/>
              <w:numPr>
                <w:ilvl w:val="1"/>
                <w:numId w:val="16"/>
              </w:numPr>
            </w:pPr>
            <w:r>
              <w:rPr/>
              <w:t xml:space="preserve">internetbankieren of PC-banking</w:t>
            </w:r>
          </w:p>
          <w:p>
            <w:pPr>
              <w:pStyle w:val="ListParagraph"/>
              <w:numPr>
                <w:ilvl w:val="1"/>
                <w:numId w:val="16"/>
              </w:numPr>
            </w:pPr>
            <w:r>
              <w:rPr/>
              <w:t xml:space="preserve">zelfbankieren of self-banking</w:t>
            </w:r>
          </w:p>
          <w:p>
            <w:pPr>
              <w:pStyle w:val="ListParagraph"/>
              <w:numPr>
                <w:ilvl w:val="0"/>
                <w:numId w:val="16"/>
              </w:numPr>
            </w:pPr>
            <w:r>
              <w:rPr/>
              <w:t xml:space="preserve">andere betaalvormen</w:t>
            </w:r>
          </w:p>
          <w:p>
            <w:pPr>
              <w:pStyle w:val="ListParagraph"/>
              <w:numPr>
                <w:ilvl w:val="0"/>
                <w:numId w:val="16"/>
              </w:numPr>
            </w:pPr>
            <w:r>
              <w:rPr/>
              <w:t xml:space="preserve">nieuwe tendensen</w:t>
            </w:r>
          </w:p>
          <w:p>
            <w:pPr>
              <w:pStyle w:val="ListParagraph"/>
              <w:numPr>
                <w:ilvl w:val="0"/>
                <w:numId w:val="16"/>
              </w:numPr>
            </w:pPr>
            <w:r>
              <w:rPr/>
              <w:t xml:space="preserve">het rekeninguittreksel: wat staat erop en wat is het belang?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de financiële instellingen bij onrechtstreekse betaling toelichten</w:t>
              <w:br/>
              <w:t xml:space="preserve"/>
              <w:br/>
              <w:t xml:space="preserve">het begrip storting omschrijven</w:t>
              <w:br/>
              <w:t xml:space="preserve"/>
              <w:br/>
              <w:t xml:space="preserve">de storting herkennen</w:t>
              <w:br/>
              <w:t xml:space="preserve"/>
              <w:br/>
              <w:t xml:space="preserve">de weg die een storting aflegt in een routeschema weergeven</w:t>
              <w:br/>
              <w:t xml:space="preserve"/>
              <w:br/>
              <w:t xml:space="preserve">het begrip overschrijving omschrijven</w:t>
              <w:br/>
              <w:t xml:space="preserve"/>
              <w:br/>
              <w:t xml:space="preserve">de overschrijving herkennen</w:t>
              <w:br/>
              <w:t xml:space="preserve"/>
              <w:br/>
              <w:t xml:space="preserve">de weg die de overschrijving aflegt in een routeschema weergeven</w:t>
              <w:br/>
              <w:t xml:space="preserve"/>
              <w:br/>
              <w:t xml:space="preserve">het begrip domiciliëring omschrijven</w:t>
              <w:br/>
              <w:t xml:space="preserve"/>
              <w:br/>
              <w:t xml:space="preserve">voorbeelden van nuttige toepassingen van de domiciliëring opsommen</w:t>
              <w:br/>
              <w:t xml:space="preserve"/>
              <w:br/>
              <w:t xml:space="preserve">het begrip permanente of doorlopende opdracht omschrijven</w:t>
              <w:br/>
              <w:t xml:space="preserve"/>
              <w:br/>
              <w:t xml:space="preserve">voorbeelden van nuttige toepassingen van de doorlopende opdracht opsommen</w:t>
              <w:br/>
              <w:t xml:space="preserve"/>
              <w:br/>
              <w:t xml:space="preserve">de domiciliëring en de doorlopende opdracht met elkaar vergelijken op basis van enkele criteria: opdrachtgever, frequentie, bedrag, …</w:t>
              <w:br/>
              <w:t xml:space="preserve"/>
              <w:br/>
              <w:t xml:space="preserve">het begrip debetkaart omschrijven</w:t>
              <w:br/>
              <w:t xml:space="preserve"/>
              <w:br/>
              <w:t xml:space="preserve">het gebruik van de debetkaart toelichten</w:t>
              <w:br/>
              <w:t xml:space="preserve"/>
              <w:br/>
              <w:t xml:space="preserve">voorbeelden van nuttige toepassingen van de debetkaart opsommen</w:t>
              <w:br/>
              <w:t xml:space="preserve"/>
              <w:br/>
              <w:t xml:space="preserve">de weg die verrichtingen met een debetkaart afleggen in een routeschema weergeven</w:t>
              <w:br/>
              <w:t xml:space="preserve"/>
              <w:br/>
              <w:t xml:space="preserve">het begrip kredietkaart omschrijven</w:t>
              <w:br/>
              <w:t xml:space="preserve"/>
              <w:br/>
              <w:t xml:space="preserve">het gebruik van de kredietkaart toelichten</w:t>
              <w:br/>
              <w:t xml:space="preserve"/>
              <w:br/>
              <w:t xml:space="preserve">voorbeelden van nuttige toepassingen van de kredietkaart opsommen</w:t>
              <w:br/>
              <w:t xml:space="preserve"/>
              <w:br/>
              <w:t xml:space="preserve">de weg die verrichtingen met een kredietkaart afleggen in een routeschema weergeven</w:t>
              <w:br/>
              <w:t xml:space="preserve"/>
              <w:br/>
              <w:t xml:space="preserve">de debet- en kredietkaart onderling vergelijken</w:t>
              <w:br/>
              <w:t xml:space="preserve"/>
              <w:br/>
              <w:t xml:space="preserve">het systeem van pc-banking uitleggen</w:t>
              <w:br/>
              <w:t xml:space="preserve"/>
              <w:br/>
              <w:t xml:space="preserve">toepassingen van pc-banking toelichten</w:t>
              <w:br/>
              <w:t xml:space="preserve"/>
              <w:br/>
              <w:t xml:space="preserve">het begrip zelfbankieren omschrijven</w:t>
              <w:br/>
              <w:t xml:space="preserve"/>
              <w:br/>
              <w:t xml:space="preserve">toepassingen van zelfbankieren geven</w:t>
              <w:br/>
              <w:t xml:space="preserve"/>
              <w:br/>
              <w:t xml:space="preserve">het gebruik van andere betaalvormen en de nieuwe tendensen inzake betalingen (zoals maaltijdcheque, betalen via gsm, opleidingscheque, cultuurcheque, …) toelichten</w:t>
              <w:br/>
              <w:t xml:space="preserve"/>
              <w:br/>
              <w:t xml:space="preserve">uit een rekeninguittreksel relevante informatie afleiden </w:t>
              <w:br/>
              <w:t xml:space="preserve"/>
              <w:br/>
              <w:t xml:space="preserve">het belang van het rekeninguittreksel als bewijsmiddel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Krediet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en belang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krediet omschrijven en het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 op korte termijn</w:t>
            </w:r>
          </w:p>
          <w:p>
            <w:pPr>
              <w:pStyle w:val="ListParagraph"/>
              <w:numPr>
                <w:ilvl w:val="0"/>
                <w:numId w:val="17"/>
              </w:numPr>
            </w:pPr>
            <w:r>
              <w:rPr/>
              <w:t xml:space="preserve">kredietopening</w:t>
            </w:r>
          </w:p>
          <w:p>
            <w:pPr>
              <w:pStyle w:val="ListParagraph"/>
              <w:numPr>
                <w:ilvl w:val="0"/>
                <w:numId w:val="17"/>
              </w:numPr>
            </w:pPr>
            <w:r>
              <w:rPr/>
              <w:t xml:space="preserve">kasfaciliteit</w:t>
            </w:r>
          </w:p>
          <w:p>
            <w:pPr>
              <w:pStyle w:val="ListParagraph"/>
              <w:numPr>
                <w:ilvl w:val="0"/>
                <w:numId w:val="17"/>
              </w:numPr>
            </w:pPr>
            <w:r>
              <w:rPr/>
              <w:t xml:space="preserve">verkoop op termijn</w:t>
            </w:r>
          </w:p>
          <w:p>
            <w:pPr>
              <w:pStyle w:val="ListParagraph"/>
              <w:numPr>
                <w:ilvl w:val="0"/>
                <w:numId w:val="17"/>
              </w:numPr>
            </w:pPr>
            <w:r>
              <w:rPr/>
              <w:t xml:space="preserve">verkoop op afbetaling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kredietopening omschrijven; het gebruik van de kredietopening toelichten</w:t>
              <w:br/>
              <w:t xml:space="preserve"/>
              <w:br/>
              <w:t xml:space="preserve">concrete toepassingen opzoeken (bv. in gekregen artikel)</w:t>
              <w:br/>
              <w:t xml:space="preserve"/>
              <w:br/>
              <w:t xml:space="preserve">het begrip kasfaciliteit omschrijven</w:t>
              <w:br/>
              <w:t xml:space="preserve"/>
              <w:br/>
              <w:t xml:space="preserve">het gebruik van de kasfaciliteit toelichten</w:t>
              <w:br/>
              <w:t xml:space="preserve"/>
              <w:br/>
              <w:t xml:space="preserve">de kasfaciliteit op basis van een concreet voorbeeld vergelijken met een kredietopening</w:t>
              <w:br/>
              <w:t xml:space="preserve"/>
              <w:br/>
              <w:t xml:space="preserve">het begrip verkoop op afbetaling omschrijven</w:t>
              <w:br/>
              <w:t xml:space="preserve"/>
              <w:br/>
              <w:t xml:space="preserve">het gebruik van de verkoop op afbetaling toelichten</w:t>
              <w:br/>
              <w:t xml:space="preserve"/>
              <w:br/>
              <w:t xml:space="preserve">concrete toepassingen opzoeken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 op lange termijn</w:t>
            </w:r>
          </w:p>
          <w:p>
            <w:pPr>
              <w:pStyle w:val="ListParagraph"/>
              <w:numPr>
                <w:ilvl w:val="0"/>
                <w:numId w:val="18"/>
              </w:numPr>
            </w:pPr>
            <w:r>
              <w:rPr/>
              <w:t xml:space="preserve">persoonlijke lening</w:t>
            </w:r>
          </w:p>
          <w:p>
            <w:pPr>
              <w:pStyle w:val="ListParagraph"/>
              <w:numPr>
                <w:ilvl w:val="0"/>
                <w:numId w:val="18"/>
              </w:numPr>
            </w:pPr>
            <w:r>
              <w:rPr/>
              <w:t xml:space="preserve">hypothecaire lening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persoonlijke lening omschrijven</w:t>
              <w:br/>
              <w:t xml:space="preserve"/>
              <w:br/>
              <w:t xml:space="preserve">het gebruik van de persoonlijke lening toelichten</w:t>
              <w:br/>
              <w:t xml:space="preserve"/>
              <w:br/>
              <w:t xml:space="preserve">concrete toepassingen opzoeken</w:t>
              <w:br/>
              <w:t xml:space="preserve"/>
              <w:br/>
              <w:t xml:space="preserve">het begrip hypothecaire lening omschrijven</w:t>
              <w:br/>
              <w:t xml:space="preserve"/>
              <w:br/>
              <w:t xml:space="preserve">het gebruik van de hypothecaire lening toelichten</w:t>
              <w:br/>
              <w:t xml:space="preserve"/>
              <w:br/>
              <w:t xml:space="preserve">concrete toepassingen opzoeken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Intrestvergelijking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intrestlasten van een aantal besproken kredietvormen vergelijken en de voor- en nadelen van de verschillende financieringsvormen afwegen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Valkuilen voor de kredietnemer</w:t>
            </w:r>
          </w:p>
          <w:p>
            <w:pPr>
              <w:pStyle w:val="ListParagraph"/>
              <w:numPr>
                <w:ilvl w:val="0"/>
                <w:numId w:val="19"/>
              </w:numPr>
            </w:pPr>
            <w:r>
              <w:rPr/>
              <w:t xml:space="preserve">terugbetalingsplicht</w:t>
            </w:r>
          </w:p>
          <w:p>
            <w:pPr>
              <w:pStyle w:val="ListParagraph"/>
              <w:numPr>
                <w:ilvl w:val="0"/>
                <w:numId w:val="19"/>
              </w:numPr>
            </w:pPr>
            <w:r>
              <w:rPr/>
              <w:t xml:space="preserve">financiële draagkracht</w:t>
            </w:r>
          </w:p>
          <w:p>
            <w:pPr>
              <w:pStyle w:val="ListParagraph"/>
              <w:numPr>
                <w:ilvl w:val="0"/>
                <w:numId w:val="19"/>
              </w:numPr>
            </w:pPr>
            <w:r>
              <w:rPr/>
              <w:t xml:space="preserve">risico’s en waarborgen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mogelijke gevaren voor de kredietnemer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Bescherming van de kredietnemer : wet op consumentenkrediet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 op het consumentenkrediet raadplegen en interpreteren</w:t>
              <w:br/>
              <w:t xml:space="preserve"/>
              <w:br/>
              <w:t xml:space="preserve">de wettekst of delen eruit zullen bij het examen gevoegd worden</w:t>
              <w:br/>
              <w:t xml:space="preserve"/>
              <w:br/>
              <w:t xml:space="preserve">het doel van de wet verduidelijken aan de hand van wettekstdelen die je krijgt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Kredietproblemen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gevaren van krediet kunnen opzoeken en bespreken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Algemene begrippen en gerechtelijke instellingen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Nut van het 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het recht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Bronnen van het 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bronnen (wetten, decreten, verordeningen, rechtsleer, gewoonten, rechtspraak) van het nationaal recht omschrijven en beknopt met voorbeelden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Gerechtelijke instellingen</w:t>
            </w:r>
          </w:p>
          <w:p>
            <w:pPr>
              <w:pStyle w:val="ListParagraph"/>
              <w:numPr>
                <w:ilvl w:val="0"/>
                <w:numId w:val="20"/>
              </w:numPr>
            </w:pPr>
            <w:r>
              <w:rPr/>
              <w:t xml:space="preserve">rechtbanken</w:t>
            </w:r>
          </w:p>
          <w:p>
            <w:pPr>
              <w:pStyle w:val="ListParagraph"/>
              <w:numPr>
                <w:ilvl w:val="0"/>
                <w:numId w:val="20"/>
              </w:numPr>
            </w:pPr>
            <w:r>
              <w:rPr/>
              <w:t xml:space="preserve">actoren</w:t>
            </w:r>
          </w:p>
          <w:p>
            <w:pPr>
              <w:pStyle w:val="ListParagraph"/>
              <w:numPr>
                <w:ilvl w:val="0"/>
                <w:numId w:val="20"/>
              </w:numPr>
            </w:pPr>
            <w:r>
              <w:rPr/>
              <w:t xml:space="preserve">procedure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rechtbanken en –hoven in een schema herkennen</w:t>
              <w:br/>
              <w:t xml:space="preserve"/>
              <w:br/>
              <w:t xml:space="preserve">de voornaamste taak van de rechtbanken en –hoven opzoeken, situeren en toelichten met voorbeelden</w:t>
              <w:br/>
              <w:t xml:space="preserve"/>
              <w:br/>
              <w:t xml:space="preserve">de verschillende actoren in rechtszaken (rechter, openbaar ministerie, onderzoeksrechter) herkennen</w:t>
              <w:br/>
              <w:t xml:space="preserve"/>
              <w:br/>
              <w:t xml:space="preserve">een gerechtelijke procedure opzoeken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Personenrecht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Natuurlijke – en rechtspersoon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'natuurlijke personen’ en 'rechtspersonen’ omschrijven en met concrete voorbeelden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Staat van een persoon als individu, in de familie en in de gemeenschap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 verband met de staat van een persoon als individu (naam, woonplaats, nationaliteit) omschrijven en met concrete voorbeelden verduidelijken</w:t>
              <w:br/>
              <w:t xml:space="preserve"/>
              <w:br/>
              <w:t xml:space="preserve">de begrippen in verband met staat van een persoon als lid van een familie (bloed- en aanverwantschap, in rechte lijn en in zijlijn) omschrijven en met concrete voorbeelden verduidelijken</w:t>
              <w:br/>
              <w:t xml:space="preserve"/>
              <w:br/>
              <w:t xml:space="preserve">de begrippen in verband met de staat van een persoon in de gemeenschap (aangifte van de geboorte) omschrijven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Zakenrecht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goederen</w:t>
            </w:r>
          </w:p>
          <w:p>
            <w:pPr>
              <w:pStyle w:val="ListParagraph"/>
              <w:numPr>
                <w:ilvl w:val="0"/>
                <w:numId w:val="21"/>
              </w:numPr>
            </w:pPr>
            <w:r>
              <w:rPr/>
              <w:t xml:space="preserve">roerende en onroerende goederen</w:t>
            </w:r>
          </w:p>
          <w:p>
            <w:pPr>
              <w:pStyle w:val="ListParagraph"/>
              <w:numPr>
                <w:ilvl w:val="0"/>
                <w:numId w:val="21"/>
              </w:numPr>
            </w:pPr>
            <w:r>
              <w:rPr/>
              <w:t xml:space="preserve">lichamelijke en onlichamelijke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'goed’ omschrijven</w:t>
              <w:br/>
              <w:t xml:space="preserve"/>
              <w:br/>
              <w:t xml:space="preserve">de indeling van de goederen met voorbeelden kunnen illustreren</w:t>
              <w:br/>
              <w:t xml:space="preserve"/>
              <w:br/>
              <w:t xml:space="preserve"/>
            </w:r>
            <w:r>
              <w:rPr>
                <w:b/>
              </w:rPr>
              <w:t xml:space="preserve">merk op</w:t>
            </w:r>
            <w:r>
              <w:rPr/>
              <w:t xml:space="preserve"> dat het begrip 'goed’ een andere betekenis heeft in Recht dan in Economie. </w:t>
              <w:br/>
              <w:t xml:space="preserve">De soorten goederen worden omschreven in het nieuwe Boek 3 Goederenrecht van het BW in de artikelen 3.40 tot en met 3.49</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eigendom, het bezit</w:t>
            </w:r>
          </w:p>
          <w:p>
            <w:pPr>
              <w:pStyle w:val="ListParagraph"/>
              <w:numPr>
                <w:ilvl w:val="0"/>
                <w:numId w:val="22"/>
              </w:numPr>
            </w:pPr>
            <w:r>
              <w:rPr/>
              <w:t xml:space="preserve">onderscheid eigendom/bezit</w:t>
            </w:r>
          </w:p>
          <w:p>
            <w:pPr>
              <w:pStyle w:val="ListParagraph"/>
              <w:numPr>
                <w:ilvl w:val="0"/>
                <w:numId w:val="22"/>
              </w:numPr>
            </w:pPr>
            <w:r>
              <w:rPr/>
              <w:t xml:space="preserve">eigendomsrecht</w:t>
            </w:r>
          </w:p>
          <w:p>
            <w:pPr>
              <w:pStyle w:val="ListParagraph"/>
              <w:numPr>
                <w:ilvl w:val="0"/>
                <w:numId w:val="22"/>
              </w:numPr>
            </w:pPr>
            <w:r>
              <w:rPr/>
              <w:t xml:space="preserve">wijzen van eigendomsverkrijging</w:t>
            </w:r>
          </w:p>
          <w:p>
            <w:pPr>
              <w:pStyle w:val="ListParagraph"/>
              <w:numPr>
                <w:ilvl w:val="0"/>
                <w:numId w:val="22"/>
              </w:numPr>
            </w:pPr>
            <w:r>
              <w:rPr/>
              <w:t xml:space="preserve">erfdienstbaarheden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eigendom en bezit geven</w:t>
              <w:br/>
              <w:t xml:space="preserve"/>
              <w:br/>
              <w:t xml:space="preserve">het begrip eigendom (volgens artikel 3.50 van Boek 3 Het goederenrecht van het BW) en de wijzen van verkrijgen van eigendom omschrijven en illustreren met voorbeelden</w:t>
              <w:br/>
              <w:t xml:space="preserve"/>
              <w:br/>
              <w:t xml:space="preserve">de begrippen vruchtgebruik en naakte eigendom omschrijven en illustreren met voorbeelden</w:t>
              <w:br/>
              <w:t xml:space="preserve"/>
              <w:br/>
              <w:t xml:space="preserve">erfdienstbaarheden toelichten en met voorbeelden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Verbintenissen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begrijp verbintenis omschrijven en met concrete voorbeelden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Bronnen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bronnen van verbintenissen (wet, contract, oneigenlijk contract, onrechtmatige daad, eenzijdige rechtshandeling) beknopt omschrijven en met voorbeelden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Voornaamste gevolgen van verbintenissen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voornaamste gevolgen van verbintenissen uit overeenkomsten en uit onrechtmatige daden beknopt en schematisch bespreken</w:t>
              <w:br/>
              <w:t xml:space="preserve"/>
              <w:br/>
              <w:t xml:space="preserve">uit een voorbeeldsituatie de gevolgen van de verbintenissen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Tenietgaan van verbintenissen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oorzaken van het tenietgaan van een verbintenis beknopt omschrijven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Bewijs van verbintenissen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schriftelijke en niet-schriftelijke bewijsmiddelen in het burgerlijk recht omschrijven en de waarde (bewijskracht) van deze bewijsmiddelen praktijkgericht bespreken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Courante contracten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Grondbeginselen</w:t>
            </w:r>
          </w:p>
          <w:p>
            <w:pPr>
              <w:pStyle w:val="ListParagraph"/>
              <w:numPr>
                <w:ilvl w:val="0"/>
                <w:numId w:val="23"/>
              </w:numPr>
            </w:pPr>
            <w:r>
              <w:rPr/>
              <w:t xml:space="preserve">wilsautonomie</w:t>
            </w:r>
          </w:p>
          <w:p>
            <w:pPr>
              <w:pStyle w:val="ListParagraph"/>
              <w:numPr>
                <w:ilvl w:val="0"/>
                <w:numId w:val="23"/>
              </w:numPr>
            </w:pPr>
            <w:r>
              <w:rPr/>
              <w:t xml:space="preserve">consensualisme</w:t>
            </w:r>
          </w:p>
          <w:p>
            <w:pPr>
              <w:pStyle w:val="ListParagraph"/>
              <w:numPr>
                <w:ilvl w:val="0"/>
                <w:numId w:val="23"/>
              </w:numPr>
            </w:pPr>
            <w:r>
              <w:rPr/>
              <w:t xml:space="preserve">contract als wet</w:t>
            </w:r>
          </w:p>
          <w:p>
            <w:pPr>
              <w:pStyle w:val="ListParagraph"/>
              <w:numPr>
                <w:ilvl w:val="0"/>
                <w:numId w:val="23"/>
              </w:numPr>
            </w:pPr>
            <w:r>
              <w:rPr/>
              <w:t xml:space="preserve">goede trouw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grondbeginselen van contracten concreet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Geldigheidsvereisten</w:t>
            </w:r>
          </w:p>
          <w:p>
            <w:pPr>
              <w:pStyle w:val="ListParagraph"/>
              <w:numPr>
                <w:ilvl w:val="0"/>
                <w:numId w:val="24"/>
              </w:numPr>
            </w:pPr>
            <w:r>
              <w:rPr/>
              <w:t xml:space="preserve">toestemming</w:t>
            </w:r>
          </w:p>
          <w:p>
            <w:pPr>
              <w:pStyle w:val="ListParagraph"/>
              <w:numPr>
                <w:ilvl w:val="0"/>
                <w:numId w:val="24"/>
              </w:numPr>
            </w:pPr>
            <w:r>
              <w:rPr/>
              <w:t xml:space="preserve">bekwaamheid</w:t>
            </w:r>
          </w:p>
          <w:p>
            <w:pPr>
              <w:pStyle w:val="ListParagraph"/>
              <w:numPr>
                <w:ilvl w:val="0"/>
                <w:numId w:val="24"/>
              </w:numPr>
            </w:pPr>
            <w:r>
              <w:rPr/>
              <w:t xml:space="preserve">voorwerp</w:t>
            </w:r>
          </w:p>
          <w:p>
            <w:pPr>
              <w:pStyle w:val="ListParagraph"/>
              <w:numPr>
                <w:ilvl w:val="0"/>
                <w:numId w:val="24"/>
              </w:numPr>
            </w:pPr>
            <w:r>
              <w:rPr/>
              <w:t xml:space="preserve">geoorloofde oorzaak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geldigheidsvereisten van contracten bespreken en illustreren met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koopcontract</w:t>
            </w:r>
          </w:p>
          <w:p>
            <w:pPr>
              <w:pStyle w:val="ListParagraph"/>
              <w:numPr>
                <w:ilvl w:val="0"/>
                <w:numId w:val="25"/>
              </w:numPr>
            </w:pPr>
            <w:r>
              <w:rPr/>
              <w:t xml:space="preserve">begrip</w:t>
            </w:r>
          </w:p>
          <w:p>
            <w:pPr>
              <w:pStyle w:val="ListParagraph"/>
              <w:numPr>
                <w:ilvl w:val="0"/>
                <w:numId w:val="25"/>
              </w:numPr>
            </w:pPr>
            <w:r>
              <w:rPr/>
              <w:t xml:space="preserve">geldigheidsvereisten</w:t>
            </w:r>
          </w:p>
          <w:p>
            <w:pPr>
              <w:pStyle w:val="ListParagraph"/>
              <w:numPr>
                <w:ilvl w:val="0"/>
                <w:numId w:val="25"/>
              </w:numPr>
            </w:pPr>
            <w:r>
              <w:rPr/>
              <w:t xml:space="preserve">vormvereisten</w:t>
            </w:r>
          </w:p>
          <w:p>
            <w:pPr>
              <w:pStyle w:val="ListParagraph"/>
              <w:numPr>
                <w:ilvl w:val="0"/>
                <w:numId w:val="25"/>
              </w:numPr>
            </w:pPr>
            <w:r>
              <w:rPr/>
              <w:t xml:space="preserve">rechten en plichten van koper en verkoper</w:t>
            </w:r>
          </w:p>
          <w:p>
            <w:pPr>
              <w:pStyle w:val="ListParagraph"/>
              <w:numPr>
                <w:ilvl w:val="0"/>
                <w:numId w:val="25"/>
              </w:numPr>
            </w:pPr>
            <w:r>
              <w:rPr/>
              <w:t xml:space="preserve">bewijsmiddelen</w:t>
            </w:r>
          </w:p>
          <w:p>
            <w:pPr>
              <w:pStyle w:val="ListParagraph"/>
              <w:numPr>
                <w:ilvl w:val="0"/>
                <w:numId w:val="25"/>
              </w:numPr>
            </w:pPr>
            <w:r>
              <w:rPr/>
              <w:t xml:space="preserve">einde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koopcontract omschrijven</w:t>
              <w:br/>
              <w:t xml:space="preserve"/>
              <w:br/>
              <w:t xml:space="preserve">de geldigheidsvereisten van een koopcontract toelichten, deze terugvinden in een koopcontract</w:t>
              <w:br/>
              <w:t xml:space="preserve"/>
              <w:br/>
              <w:t xml:space="preserve">in een koopcontract de vormvereisten aanduiden en toelichten</w:t>
              <w:br/>
              <w:t xml:space="preserve"/>
              <w:br/>
              <w:t xml:space="preserve">in een koopcontract de rechten en plichten van koper en verkoper terugvinden en deze toelichten</w:t>
              <w:br/>
              <w:t xml:space="preserve"/>
              <w:br/>
              <w:t xml:space="preserve">mogelijke bewijsmiddelen in verband met koopcontracten opzoeken en illustreren</w:t>
              <w:br/>
              <w:t xml:space="preserve"/>
              <w:br/>
              <w:t xml:space="preserve">de verschillende manieren van tenietgaan van een koopcontract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huurcontract</w:t>
            </w:r>
          </w:p>
          <w:p>
            <w:pPr>
              <w:pStyle w:val="ListParagraph"/>
              <w:numPr>
                <w:ilvl w:val="0"/>
                <w:numId w:val="26"/>
              </w:numPr>
            </w:pPr>
            <w:r>
              <w:rPr/>
              <w:t xml:space="preserve">begrip</w:t>
            </w:r>
          </w:p>
          <w:p>
            <w:pPr>
              <w:pStyle w:val="ListParagraph"/>
              <w:numPr>
                <w:ilvl w:val="0"/>
                <w:numId w:val="26"/>
              </w:numPr>
            </w:pPr>
            <w:r>
              <w:rPr/>
              <w:t xml:space="preserve">geldigheidsvereisten</w:t>
            </w:r>
          </w:p>
          <w:p>
            <w:pPr>
              <w:pStyle w:val="ListParagraph"/>
              <w:numPr>
                <w:ilvl w:val="0"/>
                <w:numId w:val="26"/>
              </w:numPr>
            </w:pPr>
            <w:r>
              <w:rPr/>
              <w:t xml:space="preserve">rechten en plichten van huurder en verhuurder</w:t>
            </w:r>
          </w:p>
          <w:p>
            <w:pPr>
              <w:pStyle w:val="ListParagraph"/>
              <w:numPr>
                <w:ilvl w:val="0"/>
                <w:numId w:val="26"/>
              </w:numPr>
            </w:pPr>
            <w:r>
              <w:rPr/>
              <w:t xml:space="preserve">duur en einde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huurcontract omschrijven</w:t>
              <w:br/>
              <w:t xml:space="preserve"/>
              <w:br/>
              <w:t xml:space="preserve">de geldigheidsvereisten van het huurcontract toelichten</w:t>
              <w:br/>
              <w:t xml:space="preserve"/>
              <w:br/>
              <w:t xml:space="preserve">de vormvereisten van een huurcontract toelichten</w:t>
              <w:br/>
              <w:t xml:space="preserve"/>
              <w:br/>
              <w:t xml:space="preserve">de rechten en plichten van huurder en verhuurder in een huurcontract terugvinden en toelichten</w:t>
              <w:br/>
              <w:t xml:space="preserve"/>
              <w:br/>
              <w:t xml:space="preserve">de mogelijke wettelijke termijnen van een huurcontract en de mogelijkheden om het te beëindigen 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Verzekeringen</w:t>
            </w:r>
          </w:p>
          <w:p>
            <w:pPr>
              <w:pStyle w:val="ListParagraph"/>
              <w:numPr>
                <w:ilvl w:val="0"/>
                <w:numId w:val="27"/>
              </w:numPr>
            </w:pPr>
            <w:r>
              <w:rPr/>
              <w:t xml:space="preserve">begrippen en belang</w:t>
            </w:r>
          </w:p>
          <w:p>
            <w:pPr>
              <w:pStyle w:val="ListParagraph"/>
              <w:numPr>
                <w:ilvl w:val="1"/>
                <w:numId w:val="27"/>
              </w:numPr>
            </w:pPr>
            <w:r>
              <w:rPr/>
              <w:t xml:space="preserve">verzekeraar</w:t>
            </w:r>
          </w:p>
          <w:p>
            <w:pPr>
              <w:pStyle w:val="ListParagraph"/>
              <w:numPr>
                <w:ilvl w:val="1"/>
                <w:numId w:val="27"/>
              </w:numPr>
            </w:pPr>
            <w:r>
              <w:rPr/>
              <w:t xml:space="preserve">verzekeringnemer</w:t>
            </w:r>
          </w:p>
          <w:p>
            <w:pPr>
              <w:pStyle w:val="ListParagraph"/>
              <w:numPr>
                <w:ilvl w:val="1"/>
                <w:numId w:val="27"/>
              </w:numPr>
            </w:pPr>
            <w:r>
              <w:rPr/>
              <w:t xml:space="preserve">verzekerde</w:t>
            </w:r>
          </w:p>
          <w:p>
            <w:pPr>
              <w:pStyle w:val="ListParagraph"/>
              <w:numPr>
                <w:ilvl w:val="1"/>
                <w:numId w:val="27"/>
              </w:numPr>
            </w:pPr>
            <w:r>
              <w:rPr/>
              <w:t xml:space="preserve">begunstigde</w:t>
            </w:r>
          </w:p>
          <w:p>
            <w:pPr>
              <w:pStyle w:val="ListParagraph"/>
              <w:numPr>
                <w:ilvl w:val="1"/>
                <w:numId w:val="27"/>
              </w:numPr>
            </w:pPr>
            <w:r>
              <w:rPr/>
              <w:t xml:space="preserve">risico</w:t>
            </w:r>
          </w:p>
          <w:p>
            <w:pPr>
              <w:pStyle w:val="ListParagraph"/>
              <w:numPr>
                <w:ilvl w:val="1"/>
                <w:numId w:val="27"/>
              </w:numPr>
            </w:pPr>
            <w:r>
              <w:rPr/>
              <w:t xml:space="preserve">premie</w:t>
            </w:r>
          </w:p>
          <w:p>
            <w:pPr>
              <w:pStyle w:val="ListParagraph"/>
              <w:numPr>
                <w:ilvl w:val="1"/>
                <w:numId w:val="27"/>
              </w:numPr>
            </w:pPr>
            <w:r>
              <w:rPr/>
              <w:t xml:space="preserve">vrijstelling</w:t>
            </w:r>
          </w:p>
          <w:p>
            <w:pPr>
              <w:pStyle w:val="ListParagraph"/>
              <w:numPr>
                <w:ilvl w:val="1"/>
                <w:numId w:val="27"/>
              </w:numPr>
            </w:pPr>
            <w:r>
              <w:rPr/>
              <w:t xml:space="preserve">polis</w:t>
            </w:r>
          </w:p>
          <w:p>
            <w:pPr>
              <w:pStyle w:val="ListParagraph"/>
              <w:numPr>
                <w:ilvl w:val="1"/>
                <w:numId w:val="27"/>
              </w:numPr>
            </w:pPr>
            <w:r>
              <w:rPr/>
              <w:t xml:space="preserve">schade</w:t>
            </w:r>
          </w:p>
          <w:p>
            <w:pPr>
              <w:pStyle w:val="ListParagraph"/>
              <w:numPr>
                <w:ilvl w:val="0"/>
                <w:numId w:val="27"/>
              </w:numPr>
            </w:pPr>
            <w:r>
              <w:rPr/>
              <w:t xml:space="preserve">verplichte verzekeringen (persoonlijke en aansprakelijkheidsrisico’s)</w:t>
            </w:r>
          </w:p>
          <w:p>
            <w:pPr>
              <w:pStyle w:val="ListParagraph"/>
              <w:numPr>
                <w:ilvl w:val="1"/>
                <w:numId w:val="27"/>
              </w:numPr>
            </w:pPr>
            <w:r>
              <w:rPr/>
              <w:t xml:space="preserve">ziekteverzekering</w:t>
            </w:r>
          </w:p>
          <w:p>
            <w:pPr>
              <w:pStyle w:val="ListParagraph"/>
              <w:numPr>
                <w:ilvl w:val="1"/>
                <w:numId w:val="27"/>
              </w:numPr>
            </w:pPr>
            <w:r>
              <w:rPr/>
              <w:t xml:space="preserve">arbeidsongeschiktheid</w:t>
            </w:r>
          </w:p>
          <w:p>
            <w:pPr>
              <w:pStyle w:val="ListParagraph"/>
              <w:numPr>
                <w:ilvl w:val="1"/>
                <w:numId w:val="27"/>
              </w:numPr>
            </w:pPr>
            <w:r>
              <w:rPr/>
              <w:t xml:space="preserve">pensioen</w:t>
            </w:r>
          </w:p>
          <w:p>
            <w:pPr>
              <w:pStyle w:val="ListParagraph"/>
              <w:numPr>
                <w:ilvl w:val="1"/>
                <w:numId w:val="27"/>
              </w:numPr>
            </w:pPr>
            <w:r>
              <w:rPr/>
              <w:t xml:space="preserve">beperkte faillissementsverzekering</w:t>
            </w:r>
          </w:p>
          <w:p>
            <w:pPr>
              <w:pStyle w:val="ListParagraph"/>
              <w:numPr>
                <w:ilvl w:val="1"/>
                <w:numId w:val="27"/>
              </w:numPr>
            </w:pPr>
            <w:r>
              <w:rPr/>
              <w:t xml:space="preserve">gezinsbijslag</w:t>
            </w:r>
          </w:p>
          <w:p>
            <w:pPr>
              <w:pStyle w:val="ListParagraph"/>
              <w:numPr>
                <w:ilvl w:val="1"/>
                <w:numId w:val="27"/>
              </w:numPr>
            </w:pPr>
            <w:r>
              <w:rPr/>
              <w:t xml:space="preserve">burgerlijke aansprakelijkheid auto</w:t>
            </w:r>
          </w:p>
          <w:p>
            <w:pPr>
              <w:pStyle w:val="ListParagraph"/>
              <w:numPr>
                <w:ilvl w:val="1"/>
                <w:numId w:val="27"/>
              </w:numPr>
            </w:pPr>
            <w:r>
              <w:rPr/>
              <w:t xml:space="preserve">arbeidsongevallen personeel</w:t>
            </w:r>
          </w:p>
          <w:p>
            <w:pPr>
              <w:pStyle w:val="ListParagraph"/>
              <w:numPr>
                <w:ilvl w:val="1"/>
                <w:numId w:val="27"/>
              </w:numPr>
            </w:pPr>
            <w:r>
              <w:rPr/>
              <w:t xml:space="preserve">burgerlijke aansprakelijkheid brand en ontploffing</w:t>
            </w:r>
          </w:p>
          <w:p>
            <w:pPr>
              <w:pStyle w:val="ListParagraph"/>
              <w:numPr>
                <w:ilvl w:val="1"/>
                <w:numId w:val="27"/>
              </w:numPr>
            </w:pPr>
            <w:r>
              <w:rPr/>
              <w:t xml:space="preserve">beroepsaansprakelijkheidsverzekering</w:t>
            </w:r>
          </w:p>
          <w:p>
            <w:pPr>
              <w:pStyle w:val="ListParagraph"/>
              <w:numPr>
                <w:ilvl w:val="0"/>
                <w:numId w:val="27"/>
              </w:numPr>
            </w:pPr>
            <w:r>
              <w:rPr/>
              <w:t xml:space="preserve">aanvullende verzekeringen</w:t>
            </w:r>
          </w:p>
          <w:p>
            <w:pPr>
              <w:pStyle w:val="ListParagraph"/>
              <w:numPr>
                <w:ilvl w:val="1"/>
                <w:numId w:val="27"/>
              </w:numPr>
            </w:pPr>
            <w:r>
              <w:rPr/>
              <w:t xml:space="preserve">hospitalisatieverzekering</w:t>
            </w:r>
          </w:p>
          <w:p>
            <w:pPr>
              <w:pStyle w:val="ListParagraph"/>
              <w:numPr>
                <w:ilvl w:val="1"/>
                <w:numId w:val="27"/>
              </w:numPr>
            </w:pPr>
            <w:r>
              <w:rPr/>
              <w:t xml:space="preserve">levensverzekering</w:t>
            </w:r>
          </w:p>
          <w:p>
            <w:pPr>
              <w:pStyle w:val="ListParagraph"/>
              <w:numPr>
                <w:ilvl w:val="1"/>
                <w:numId w:val="27"/>
              </w:numPr>
            </w:pPr>
            <w:r>
              <w:rPr/>
              <w:t xml:space="preserve">verzekering kleine risico’s bij het ziekenfonds</w:t>
            </w:r>
          </w:p>
          <w:p>
            <w:pPr>
              <w:pStyle w:val="ListParagraph"/>
              <w:numPr>
                <w:ilvl w:val="1"/>
                <w:numId w:val="27"/>
              </w:numPr>
            </w:pPr>
            <w:r>
              <w:rPr/>
              <w:t xml:space="preserve">verzekering gewaarborgd inkomen</w:t>
            </w:r>
          </w:p>
          <w:p>
            <w:pPr>
              <w:pStyle w:val="ListParagraph"/>
              <w:numPr>
                <w:ilvl w:val="1"/>
                <w:numId w:val="27"/>
              </w:numPr>
            </w:pPr>
            <w:r>
              <w:rPr/>
              <w:t xml:space="preserve">vrij aanvullend pensioen voor zelfstandigen</w:t>
            </w:r>
          </w:p>
          <w:p>
            <w:pPr>
              <w:pStyle w:val="ListParagraph"/>
              <w:numPr>
                <w:ilvl w:val="1"/>
                <w:numId w:val="27"/>
              </w:numPr>
            </w:pPr>
            <w:r>
              <w:rPr/>
              <w:t xml:space="preserve">rechtsbijstandverzekering pechverhelping</w:t>
            </w:r>
          </w:p>
          <w:p>
            <w:pPr>
              <w:pStyle w:val="ListParagraph"/>
              <w:numPr>
                <w:ilvl w:val="1"/>
                <w:numId w:val="27"/>
              </w:numPr>
            </w:pPr>
            <w:r>
              <w:rPr/>
              <w:t xml:space="preserve">burgerlijke aansprakelijkheid (familiale verzekering</w:t>
            </w:r>
          </w:p>
          <w:p>
            <w:pPr>
              <w:pStyle w:val="ListParagraph"/>
              <w:numPr>
                <w:ilvl w:val="1"/>
                <w:numId w:val="27"/>
              </w:numPr>
            </w:pPr>
            <w:r>
              <w:rPr/>
              <w:t xml:space="preserve">brandverzekering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verzekeringen voor de verzekeringsnemer aantonen</w:t>
              <w:br/>
              <w:t xml:space="preserve"/>
              <w:br/>
              <w:t xml:space="preserve">de basisterminologie met betrekking tot verzekeringen beschrijven</w:t>
              <w:br/>
              <w:t xml:space="preserve"/>
              <w:br/>
              <w:t xml:space="preserve">de soorten verplichte en aanvullende verzekeringen opzoeken en hun risicodekking omschrijven</w:t>
              <w:br/>
              <w:t xml:space="preserve"/>
              <w:br/>
              <w:t xml:space="preserve">op basis van een contract uit de leefwereld van de kandidaat (bijvoorbeeld bromfietsverzekering) vragen in verband met de terminologie beantwoorden</w:t>
              <w:br/>
              <w:t xml:space="preserve"/>
              <w:br/>
              <w:t xml:space="preserve">de belangrijkste verplichte verzekeringen schematisch ordenen en bondig toelichten</w:t>
              <w:br/>
              <w:t xml:space="preserve"/>
              <w:br/>
              <w:t xml:space="preserve">de belangrijkste aanvullende verzekeringen schematisch ordenen en bondig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Arbeidscontract</w:t>
            </w:r>
          </w:p>
          <w:p>
            <w:pPr>
              <w:pStyle w:val="ListParagraph"/>
              <w:numPr>
                <w:ilvl w:val="0"/>
                <w:numId w:val="28"/>
              </w:numPr>
            </w:pPr>
            <w:r>
              <w:rPr/>
              <w:t xml:space="preserve">begrip en soorten</w:t>
            </w:r>
          </w:p>
          <w:p>
            <w:pPr>
              <w:pStyle w:val="ListParagraph"/>
              <w:numPr>
                <w:ilvl w:val="0"/>
                <w:numId w:val="28"/>
              </w:numPr>
            </w:pPr>
            <w:r>
              <w:rPr/>
              <w:t xml:space="preserve">schorsing van de uitvoering</w:t>
            </w:r>
          </w:p>
          <w:p>
            <w:pPr>
              <w:pStyle w:val="ListParagraph"/>
              <w:numPr>
                <w:ilvl w:val="0"/>
                <w:numId w:val="28"/>
              </w:numPr>
            </w:pPr>
            <w:r>
              <w:rPr/>
              <w:t xml:space="preserve">einde van de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'arbeidscontract omschrijven en de soorten toelichten</w:t>
              <w:br/>
              <w:t xml:space="preserve"/>
              <w:br/>
              <w:t xml:space="preserve">het begrip 'schorsing’ omschrijven</w:t>
              <w:br/>
              <w:t xml:space="preserve"/>
              <w:br/>
              <w:t xml:space="preserve">de oorzaken van schorsing toelichten aan de hand van concrete situaties: ziekte en ongeval, arbeidsongeval en beroepsziekte, moederschapsverlof, geboorteverlof, adoptieverlof, kort verzuim, verlof om dwingende reden</w:t>
              <w:br/>
              <w:t xml:space="preserve"/>
              <w:br/>
              <w:t xml:space="preserve">de wijze van beëindiging van de arbeidsovereenkomst aan de hand van concrete situaties toelichten: einde door overlijden van de werknemer, einde van de arbeidsovereenkomst voor onbepaalde en voor bepaalde tijd, einde van de arbeidsovereenkomst omwille van dringende reden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arbeidsreglement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arbeidsreglement omschrijven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arbeidsreglement toelichten op basis van een concreet voorbeeld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Sociale zekerheid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rijksdienst voor sociale zekerheid</w:t>
            </w:r>
          </w:p>
          <w:p>
            <w:pPr>
              <w:pStyle w:val="ListParagraph"/>
              <w:numPr>
                <w:ilvl w:val="0"/>
                <w:numId w:val="29"/>
              </w:numPr>
            </w:pPr>
            <w:r>
              <w:rPr/>
              <w:t xml:space="preserve">algemene organisatie</w:t>
            </w:r>
          </w:p>
          <w:p>
            <w:pPr>
              <w:pStyle w:val="ListParagraph"/>
              <w:numPr>
                <w:ilvl w:val="0"/>
                <w:numId w:val="29"/>
              </w:numPr>
            </w:pPr>
            <w:r>
              <w:rPr/>
              <w:t xml:space="preserve">functie van de RSZ</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organisatie van de RSZ aan de hand van een schema beschrijven</w:t>
              <w:br/>
              <w:t xml:space="preserve"/>
              <w:br/>
              <w:t xml:space="preserve">de functie van de RSZ kaderen in het maatschappelijk leven</w:t>
              <w:br/>
              <w:t xml:space="preserve"/>
              <w:br/>
              <w:t xml:space="preserve">het doel en nut van de RSZ omschrijven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sectoren binnen de RSZ</w:t>
            </w:r>
          </w:p>
          <w:p>
            <w:pPr>
              <w:pStyle w:val="ListParagraph"/>
              <w:numPr>
                <w:ilvl w:val="0"/>
                <w:numId w:val="30"/>
              </w:numPr>
            </w:pPr>
            <w:r>
              <w:rPr/>
              <w:t xml:space="preserve">belang en doel van elke sector</w:t>
            </w:r>
          </w:p>
          <w:p>
            <w:pPr>
              <w:pStyle w:val="ListParagraph"/>
              <w:numPr>
                <w:ilvl w:val="0"/>
                <w:numId w:val="30"/>
              </w:numPr>
            </w:pPr>
            <w:r>
              <w:rPr/>
              <w:t xml:space="preserve">uitbetalingsorganen van de RSZ</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en het doel van elke sector van de RSZ opzoeken, toelichten en concretiseren met enkele voorbeelden</w:t>
              <w:br/>
              <w:t xml:space="preserve"/>
              <w:br/>
              <w:t xml:space="preserve">de uitbetalingsorganen en de organisatie van de uitbetalingen binnen de verschillende sectoren van de RSZ opzoeken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Toegepaste economie is een digitaal examen. Vraag je je af hoe een digitaal examen verloopt? De uitleg over onze digitale examens, de instructies en heel wat voorbeeldvragen vind je op www.vlaanderen.be/examencommissie-secundair-onderwijs/voorbereiding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Kladblad</w:t>
      </w:r>
    </w:p>
    <w:p>
      <w:pPr>
        <w:jc w:val="both"/>
      </w:pPr>
      <w:r>
        <w:t xml:space="preserve">Digitale rekenmachine op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w:t>
      </w:r>
    </w:p>
    <w:p>
      <w:pPr>
        <w:jc w:val="both"/>
      </w:pPr>
      <w:r>
        <w:t xml:space="preserve">Vanaf 1 januari 2022 gebruiken we enkel nog gesloten vragen voor dit vak. </w:t>
      </w:r>
    </w:p>
    <w:p>
      <w:pPr>
        <w:jc w:val="both"/>
      </w:pPr>
      <w:r>
        <w:t xml:space="preserve">Er zijn verschillende vraagtypes: invulvragen, sleepvragen, dropdownvragen, meerkeuzevragen. Elk vraagtype heeft zijn eigen instructiezin, die duidelijk aangeeft wat je precies moet doen.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open vragen bekijken de correctoren of je antwoord</w:t>
      </w:r>
    </w:p>
    <w:p>
      <w:pPr>
        <w:jc w:val="both"/>
      </w:pPr>
      <w:r>
        <w:t xml:space="preserve">•	de juiste economische begrippen bevat, </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De begrippen die vermeld staan in de tabellen met de leerinhouden moet je</w:t>
      </w:r>
    </w:p>
    <w:p>
      <w:pPr>
        <w:jc w:val="both"/>
      </w:pPr>
      <w:r>
        <w:t xml:space="preserve">•	correct kunnen benoemen</w:t>
      </w:r>
    </w:p>
    <w:p>
      <w:pPr>
        <w:jc w:val="both"/>
      </w:pPr>
      <w:r>
        <w:t xml:space="preserve">bijvoorbeeld: “primaire sector” is correct, maar “eerste sector” is niet correct;</w:t>
      </w:r>
    </w:p>
    <w:p>
      <w:pPr>
        <w:jc w:val="both"/>
      </w:pPr>
      <w:r>
        <w:t xml:space="preserve">•	correct kunnen gebruiken;</w:t>
      </w:r>
    </w:p>
    <w:p>
      <w:pPr>
        <w:jc w:val="both"/>
      </w:pPr>
      <w:r>
        <w:t xml:space="preserve">bijvoorbeeld: de handtekening en datering op een factuur als bewijs van betaling is een "kwijting" en geen "ontvangstbewijs";</w:t>
      </w:r>
    </w:p>
    <w:p>
      <w:pPr>
        <w:jc w:val="both"/>
      </w:pPr>
      <w:r>
        <w:t xml:space="preserve">•	correct kunnen schrijven, bijvoorbeeld: “consumptie” is correct maar “konsumptie” is niet correct.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60 %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Economie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Recht</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en 2.2 - Handelseconomie (voor 2de graad aso en tso)</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2</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Bedrijfsbeheer 2017</w:t>
              <w:br/>
              <w:t xml:space="preserve"/>
              <w:br/>
              <w:t xml:space="preserve">Herman Sneyers, Rembert Henderix</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http://socialsecurity.belgium.be/nl/publicaties/alles-wat-je-altijd-al-wilde-weten-over-de-sociale-zekerheid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Brochure van de federale overheid over organisatie van de Belgische sociale zekerheid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https://www.wikifin.be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overheid over alle mogelijke geldzaken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