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kunstgeschiedenis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1.</w:t>
        <w:tab/>
        <w:t>Katholiek Onderwijs Vlaanderen: D/2012/7841/038 (BV)</w:t>
        <w:br/>
        <w:t>2.</w:t>
        <w:tab/>
        <w:t>Katholiek Onderwijs Vlaanderen: D/2004/0279/006 (Muziek)</w:t>
        <w:br/>
        <w:t>3.</w:t>
        <w:tab/>
        <w:t>OVSG: 0/2/2006/388 (BV en muziek)</w:t>
        <w:br/>
        <w:t>4.</w:t>
        <w:tab/>
        <w:t>GO: 2002/218  (BV)</w:t>
        <w:br/>
        <w:t>5.</w:t>
        <w:tab/>
        <w:t>GO: 2006/002 (Muziek</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van kunst te kunnen genieten, zal je je best openstellen voor het nieuwe en het onbekende. Kunst kan je heel persoonlijk raken, omdat het mooi is, omdat het origineel is, omdat het knap in elkaar zit of omdat het indrukwekkend is. Iemand anders kan een totaal ander idee hebben over datzelfde kunstwerk. Jouw idee kan ook groeien of veranderen, omdat je meer te weten komt over de kunstenaar of de achtergrond. Je begrijpt dat kunst een manier is om ideeën over een samenleving te uiten of dat kunst een persoonlijke expressie kan zijn van een emotie. Kunst is eigen aan de mens en is de moeite waard om te bestuderen.</w:t>
      </w:r>
    </w:p>
    <w:p>
      <w:r>
        <w:rPr/>
        <w:t xml:space="preserve"/>
      </w:r>
      <w:r>
        <w:rPr>
          <w:color w:val="00B050"/>
        </w:rPr>
        <w:t/>
      </w:r>
    </w:p>
    <w:p w14:paraId="70391787" w14:textId="3DB223A8" w:rsidR="00047953" w:rsidRDefault="001D02B3" w:rsidP="0082741A">
      <w:r>
        <w:rPr>
          <w:color w:val="00B050"/>
        </w:rPr>
        <w:t/>
      </w:r>
      <w:r>
        <w:t/>
      </w:r>
      <w:r>
        <w:rPr/>
        <w:t xml:space="preserve">Kunst appreciëren doe je niet zomaar. Het is belangrijk om kennis te verzamelen over kunst uit het verleden. In de derde graad kijk je naar stijlstromingen en kunstuitingen uit de periode van de prehistorie tot nu. Het accent ligt wel op de periode na de 18e eeuw. We verwachten ook dat je leert kijken naar kunst en typische vormkenmerken, technieken, materialen en genres ontdekt. Je leert de juiste kunsthistorische begrippen hanteren, je leert verbanden leggen tussen verschillende periodes en je kan kunstwerken plaatsen in een context van tijd en plaats. Om te kunnen doorstromen naar het hoger onderwijs of een artistiek beroep zullen deze vaardigheden zeker van pas komen.</w:t>
        <w:br/>
        <w:t xml:space="preserve"/>
        <w:br/>
        <w:t xml:space="preserve">Voor dit vak moet je geen opdracht maken. Toch kan het zinvol zijn om een link te leggen tussen je opdrachten voor de praktijkvakken en dit vak. Zo begrijp je dat je eigen werk mee bepaald is door kunst uit het verleden.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Algemene competenties voor alle leerinhouden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Kunst van de klassieke oudheid tot de 18e eeuw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Kunst van de 18e en de 19e eeuw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Kunst van de 20e eeuw</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Algemene competenties voor alle leerinhouden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krijgt in de eerste tabel een overzicht van alle competenties die je moet beheersen. De competenties zijn telkens toegepast op een concreet voorbeeld. In de volgende tabellen krijg je een overzicht van de leerinhouden die je voor dit vak moet beheersen. Op alle leerinhouden zal je de competenties uit de eerste tabel moeten toepassen. </w:t>
        <w:br/>
        <w:t xml:space="preserve"/>
        <w:br/>
        <w:t xml:space="preserve">('kunst’ wordt hier als algemeen begrip gebruikt voor alle leerinhouden)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Welke competenties moet je beheersen?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Toepassing van de competentie op</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 Je kan doelbewust kijken naar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analyse van de compositie van een schilderij</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 Je kan kunst analyseren op basis van een specifieke vraagstelling.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betekenis van het 'leitmotiv’ in de opera’s van Wagner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3. Je kan in woorden omschrijven hoe jij kunst ervaart.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emotie bij een muziekstuk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4. Je kan de evolutie van kunst in de tijd omschrijven.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brugfunctie van de postimpressionisten met de moderne 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5. Je kan omschrijven hoe kunst een reactie is op kunst uit een vorige periode.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Het impressionisme als reactie op de romantiek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6. Je kan omschrijven waar de benaming van een kunststroming vandaan komt.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betekenis van pop 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7. Je kan kunst in de juiste tijd situeren en chronologisch ordenen.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romantiek als kunststroming in de 19e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8. Je kan omschrijven hoe de tijd waarin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cultuurhistorische context van de periode 1945-1970 en de invloed hiervan op de 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9. Je kan kunst op de juiste plaats 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Voorbeelden van niet-westerse kunst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10. Je kan omschrijven hoe de plaats waar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Relatie tussen de industriële revolutie en de art nouveau</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11. Je kan omschrijven hoe de maatschappelijke context waarin het kunstwerk tot stand komt een effect heeft op het kunstwerk zelf en op de kunstenaar.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invloed van ideologie op het expressionisme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12. Je kan een kunstwerk verbinden met de juiste stijlstroming en motiveren waarom.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Werken van Gehry en Hadid als voorbeelden van deconstructivisme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13. Je kan stijlkenmerken aanduiden op een kunstwerk en 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Kenmerken van een romaanse kerk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14. Je kan stijlkenmerken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Kenmerken van de art déco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15. Je kan stijlkenmerken van een stijlstroming opsommen.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Kenmerken van het surrealisme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16. Je kan de juiste kunsthistorische begrippen en basisbegrippen uit de kunst hanteren. De begrippen die in de vakfiche staan, kan je 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Begrippen als tempo, ritme, vorm, compositie, volume, evenwicht, expressie, harmonie, melodie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17. Je kan de meest voorkomende materialen en technieken uit de kunst bespreken en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Materialen en technieken van hedendaagse kunstenaars als Bijl, Panamarenko en Fabre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18. Je kan de meest voorkomende genres en onderwerpen uit de kunst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Filmgenres en filmtypes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19. Je kan het werk van de belangrijkste vertegenwoordigers van een stijlstroming herkennen.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Vertegenwoordigers van de hedendaagse dans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20. Je kan de belangrijkste vertegenwoordigers van een stijlstroming opsommen. De namen van de kunstenaars die in de vakfiche staan, kan je verbinden met de juiste stijlstroming.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Vertegenwoordigers van de romantische muziek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21. Je kan kunstwerken met elkaar 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De invloed van de bouwkunst van de klassieke oudheid op de kunst uit de 19e en de 20e eeuw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22. Je kan kunstwerken bespreken aan de hand van kijkwijzers.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Kijkwijzer van beeldhouwkunst met vragen over materiaal, gereedschap, kleur, textuur, installatie, reliëf, licht en schaduw, verhouding tot de ruimte, compositie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23. Je kan onderzoeksvaardigheden in een kunsthistorische context hanteren: je kan teksten analyseren en kritisch benaderen, je kan recensies vergelijken, je kan websites van musea analyseren…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Recensies over oscarwinnende films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24. Je kan een persoonlijk en gefundeerd waardeoordeel vormen en formuleren over kunstwerken en je eigen waardeoordeel in vraag stellen.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Je eigen waardeoordeel over een kunstwerk van Christo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25. Je kan kritisch omgaan met het media-aanbod.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Alle leerinhouden</w:t>
              <w:br/>
              <w:t xml:space="preserve"/>
              <w:br/>
              <w:t xml:space="preserve">Voorbeeld:</w:t>
              <w:br/>
              <w:t xml:space="preserve"/>
              <w:br/>
              <w:t xml:space="preserve">Websites over kunst beoordelen op hun inhoudelijke waarde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Kunst van de klassieke oudheid tot de 18e eeuw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De Griekse beschaving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beeldhouwkunst uit de Griekse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8"/>
              </w:numPr>
            </w:pPr>
            <w:r>
              <w:rPr/>
              <w:t xml:space="preserve">de archaïsche periode bespreken zoals de kouros en de korè</w:t>
            </w:r>
          </w:p>
          <w:p>
            <w:pPr>
              <w:pStyle w:val="ListParagraph"/>
              <w:numPr>
                <w:ilvl w:val="0"/>
                <w:numId w:val="8"/>
              </w:numPr>
            </w:pPr>
            <w:r>
              <w:rPr/>
              <w:t xml:space="preserve">de klassieke periode bespreken zoals de discuswerper en de Venus van Milo</w:t>
            </w:r>
          </w:p>
          <w:p>
            <w:pPr>
              <w:pStyle w:val="ListParagraph"/>
              <w:numPr>
                <w:ilvl w:val="0"/>
                <w:numId w:val="8"/>
              </w:numPr>
            </w:pPr>
            <w:r>
              <w:rPr/>
              <w:t xml:space="preserve">de hellenistische periode bespreken zoals de Nikè van Samothrake en de Laocoöngroep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bouwkunst uit de Griekse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0"/>
              </w:numPr>
            </w:pPr>
            <w:r>
              <w:rPr/>
              <w:t xml:space="preserve">tempels bespreken zoals die van de Akropolis in Athene</w:t>
            </w:r>
          </w:p>
          <w:p>
            <w:pPr>
              <w:pStyle w:val="ListParagraph"/>
              <w:numPr>
                <w:ilvl w:val="0"/>
                <w:numId w:val="10"/>
              </w:numPr>
            </w:pPr>
            <w:r>
              <w:rPr/>
              <w:t xml:space="preserve">delen van een zuil en een tempel aanduiden en benoemen</w:t>
            </w:r>
          </w:p>
          <w:p>
            <w:pPr>
              <w:pStyle w:val="ListParagraph"/>
              <w:numPr>
                <w:ilvl w:val="0"/>
                <w:numId w:val="10"/>
              </w:numPr>
            </w:pPr>
            <w:r>
              <w:rPr/>
              <w:t xml:space="preserve">kenmerken van de Dorische, Ionische en Korintische zuil bespreken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De Romeinse beschaving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bouwkunst uit de Romeinse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2"/>
              </w:numPr>
            </w:pPr>
            <w:r>
              <w:rPr/>
              <w:t xml:space="preserve">tempels bespreken zoals het Maison Carrée en het Pantheon</w:t>
            </w:r>
          </w:p>
          <w:p>
            <w:pPr>
              <w:pStyle w:val="ListParagraph"/>
              <w:numPr>
                <w:ilvl w:val="0"/>
                <w:numId w:val="12"/>
              </w:numPr>
            </w:pPr>
            <w:r>
              <w:rPr/>
              <w:t xml:space="preserve">burgerlijke bouwkunst zoals amfitheaters, aquaducten, atriumhuizen, basilica, forum, insulae, thermen en triomfbogen bespreken</w:t>
            </w:r>
          </w:p>
          <w:p>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De middeleeuwen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romaanse beeldhouwkunst en bouwkunst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4"/>
              </w:numPr>
            </w:pPr>
            <w:r>
              <w:rPr/>
              <w:t xml:space="preserve">beelden als onderdeel van timpaan, portaal of interieur van kerken bespreken zoals de Saint-Lazare kathedraal in Autun</w:t>
            </w:r>
          </w:p>
          <w:p>
            <w:pPr>
              <w:pStyle w:val="ListParagraph"/>
              <w:numPr>
                <w:ilvl w:val="0"/>
                <w:numId w:val="14"/>
              </w:numPr>
            </w:pPr>
            <w:r>
              <w:rPr/>
              <w:t xml:space="preserve">kerken bespreken zoals de Madeleine kerk in Vézelay</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gotische beeldhouwkunst en bouwkunst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6"/>
              </w:numPr>
            </w:pPr>
            <w:r>
              <w:rPr/>
              <w:t xml:space="preserve">beelden als onderdeel van timpaan, portaal of interieur van kerken bespreken zoals de kathedraal in Chartres</w:t>
            </w:r>
          </w:p>
          <w:p>
            <w:pPr>
              <w:pStyle w:val="ListParagraph"/>
              <w:numPr>
                <w:ilvl w:val="0"/>
                <w:numId w:val="16"/>
              </w:numPr>
            </w:pPr>
            <w:r>
              <w:rPr/>
              <w:t xml:space="preserve">kerken bespreken zoals de kathedraal van Chartres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De renaissance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beeldhouwkunst uit 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de David van Donatello, de David en de Pièta van Michelangelo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bouwkunst uit 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Santa Maria del Fiore in Firenze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schilderkunst uit de renaissance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fresco’s en schilderijen bespreken zoals werken van Boticelli, Mantegna en Masaccio in Firenze en Mantua</w:t>
              <w:br/>
              <w:t xml:space="preserve"/>
              <w:br/>
              <w:t xml:space="preserve">fresco’s en schilderijen bespreken zoals werken van da Vinci en Michelangelo</w:t>
              <w:br/>
              <w:t xml:space="preserve"/>
              <w:br/>
              <w:t xml:space="preserve">schilderijen bespreken zoals werken van Rafaël en Titiaan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1.5 De barok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beeldhouwkunst uit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de David van Bernini</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bouwkunst uit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kerken bespreken zoals de Il Gesùkerk in Rome en de Carolus Borromeuskerk in Antwerpen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schilderkunst uit de barok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de werken van Caravaggio, Jordaens, Rembrandt, Rubens, Velázquez en Vermeer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Kunst van de 18e en de 19e eeuw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Beeldhouwkunst</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classicistische beeldhouwkunst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losstaande beelden bespreken zoals werken van Canova en Houdon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impressionistische beeldhouwkunst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beelden bespreken zoals werken van Rodin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Bouwkunst en interieur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classicistische bouwkunst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8"/>
              </w:numPr>
            </w:pPr>
            <w:r>
              <w:rPr/>
              <w:t xml:space="preserve">kerken bespreken zoals het Panthéon in Parijs</w:t>
            </w:r>
          </w:p>
          <w:p>
            <w:pPr>
              <w:pStyle w:val="ListParagraph"/>
              <w:numPr>
                <w:ilvl w:val="0"/>
                <w:numId w:val="18"/>
              </w:numPr>
            </w:pPr>
            <w:r>
              <w:rPr/>
              <w:t xml:space="preserve">burgerlijke bouwkunst bespreken zoals het Petit Trianon in Versailles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neostijlen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0"/>
              </w:numPr>
            </w:pPr>
            <w:r>
              <w:rPr/>
              <w:t xml:space="preserve">neogotische bouwkunst bespreken zoals de Houses of Parliament</w:t>
            </w:r>
          </w:p>
          <w:p>
            <w:pPr>
              <w:pStyle w:val="ListParagraph"/>
              <w:numPr>
                <w:ilvl w:val="0"/>
                <w:numId w:val="20"/>
              </w:numPr>
            </w:pPr>
            <w:r>
              <w:rPr/>
              <w:t xml:space="preserve">eclecticisme bespreken zoals het justitiepaleis van Brussel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ijzerarchitectuur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ijzerarchitectuur bespreken zoals de Eiffeltoren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art nouveau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art nouveaugebouwen bespreken zoals de architectuur van Gaudí, Horta, Van de Velde en de Wiener Sezession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Schilderkunst en fotografie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classicisme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David en Ingres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romantiek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Constable, de Goya, Delacroix, Friedrich, Géricault en Turner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realisme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Courbet, Laermans en Millet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impressionisme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schilderijen bespreken zoals werken van Degas, Manet, Monet, Pissarro en Renoir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postimpressionisme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2"/>
              </w:numPr>
            </w:pPr>
            <w:r>
              <w:rPr/>
              <w:t xml:space="preserve">schilderijen bespreken zoals werken van het pointillisme van Seurat en Signac</w:t>
            </w:r>
          </w:p>
          <w:p>
            <w:pPr>
              <w:pStyle w:val="ListParagraph"/>
              <w:numPr>
                <w:ilvl w:val="0"/>
                <w:numId w:val="22"/>
              </w:numPr>
            </w:pPr>
            <w:r>
              <w:rPr/>
              <w:t xml:space="preserve">schilderijen bespreken zoals werken van Cézanne, Ensor, Gauguin, Munch en Van Gogh</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eerste ontwikkelingen van de fotografie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fotografie bespreken zoals werken van Daguerre en Nièpce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Muziek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classicistische muziek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muziek bespreken zoals werken van Mozart en Haydn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romantische muziek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muziek bespreken zoals werken van Beethoven, Brahms, Liszt, Schubert en Wagner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impressionistische muziek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muziek bespreken zoals werken van Debussy, Ravel en Fauré</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Kunst van de 20e eeuw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Beeldende kunst</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3.1.1 Beeldende kunst vóór 1945</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fauvisme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fauvistische werken bespreken zoals werken van de Vlaminck, Matisse en Wouters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expressionisme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4"/>
              </w:numPr>
            </w:pPr>
            <w:r>
              <w:rPr/>
              <w:t xml:space="preserve">expressionistische werken bespreken zoals werken van Die Brücke, Der Blaue Reiter, Kokoschka, Permeke en Van den Berghe</w:t>
            </w:r>
          </w:p>
          <w:p>
            <w:pPr>
              <w:pStyle w:val="ListParagraph"/>
              <w:numPr>
                <w:ilvl w:val="0"/>
                <w:numId w:val="24"/>
              </w:numPr>
            </w:pPr>
            <w:r>
              <w:rPr/>
              <w:t xml:space="preserve">het begrip Entartete Kunst bespreken en verbinden met de maatschappelijke context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kubisme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kubistische werken bespreken zoals werken van Braque en Picasso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dadaïsme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6"/>
              </w:numPr>
            </w:pPr>
            <w:r>
              <w:rPr/>
              <w:t xml:space="preserve">dadaïstische werken bespreken zoals werken van Duchamp en Schwitters</w:t>
            </w:r>
          </w:p>
          <w:p>
            <w:pPr>
              <w:pStyle w:val="ListParagraph"/>
              <w:numPr>
                <w:ilvl w:val="0"/>
                <w:numId w:val="26"/>
              </w:numPr>
            </w:pPr>
            <w:r>
              <w:rPr/>
              <w:t xml:space="preserve">het begrip 'ready made'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surrealisme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surrealistische werken bespreken zoals werken van Dalí en Magritte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abstracte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abstracte werken bespreken zoals werken van Kandinsky, Malevich en Mondriaan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nieuwe zakelijkheid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Dix en Grosz</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3.1.2 Beeldende kunst na 1945</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Cobragroep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van de cobragroep bespreken zoals werken van Alechinsky, Appel en Corneille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abstract expressionisme/informele kunst/action painting/colourfield painting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De Kooning, Dubuffet, Hartung, Kelly, Newman, Pollock, Rothko, Stella en Tapiès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nieuwe figuratie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De Keyser en Raveel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pop 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Lichtenstein, Rauschenberg, Rosenquist, Warhol en Wesselman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minimal 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Flavin, Judd, LeWitt en Serra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environment/happening/installatie/performance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de werken van Beuys, Ulay &amp; Abramovic</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land art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Christo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neo-expressionisme/Neue Wilden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Baselitz, Bervoets en de Neue Wilden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graffiti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de werken van Basquiat en Haring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hedendaagse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de werken van Bijl, Dumas, Fabre, Panamarenko en Tuymans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Bouwkunst en interieur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art déco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bouwkunst en interieur bespreken zoals werken van de Amsterdamse School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functionalisme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bouwkunst en interieur bespreken zoals werken van Bauhaus, Le Corbusier, Sullivan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postmodernisme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bouwkunst en interieur bespreken zoals werken van Graves en Moore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minimalisme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bouwkunst en interieur bespreken zoals werken van Ando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hightech/megabouwwerken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bouwkunst en interieur bespreken zoals het stadion van Bayern München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het deconstructivisme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8"/>
              </w:numPr>
            </w:pPr>
            <w:r>
              <w:rPr/>
              <w:t xml:space="preserve">bouwkunst en interieur bespreken zoals werken van Gehry en Hadid</w:t>
            </w:r>
          </w:p>
          <w:p>
            <w:pPr>
              <w:pStyle w:val="ListParagraph"/>
              <w:numPr>
                <w:ilvl w:val="0"/>
                <w:numId w:val="28"/>
              </w:numPr>
            </w:pPr>
            <w:r>
              <w:rPr/>
              <w:t xml:space="preserve">bouwkunst en interieur bespreken zoals het Guggenheim Museum in Bilbao</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Muziek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20ste eeuwse modernistische muziek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muziek bespreken zoals werken van Bartók, Bernstein, Brossé, Orff, Prokofiev en Stravinsky</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populaire muziek uit de 20ste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muzieksoorten bespreken zoals blues, dance, folk, gospel, jazz, metal, minimal music, pop, punk, rap, repetitieve muziek, rock en wereldmuziek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Dans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moderne dans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danssoorten bespreken zoals werken van Bausch, Béjart, Cunningham, De Keersmaeker, Fabre, Forsythe, Graham, Platel en Vandekeybus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3.5 Fotografie en film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fotografie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bespreken zoals werken van Anton Corbijn, Annie Leibowitz, Dorothea Lange en Man Ray</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alle competenties toepassen op de film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0"/>
              </w:numPr>
            </w:pPr>
            <w:r>
              <w:rPr/>
              <w:t xml:space="preserve">films bespreken zoals films van Eisenstein, Fellini, Godard, Hitchcock, Lynch en Welles</w:t>
            </w:r>
          </w:p>
          <w:p>
            <w:pPr>
              <w:pStyle w:val="ListParagraph"/>
              <w:numPr>
                <w:ilvl w:val="0"/>
                <w:numId w:val="30"/>
              </w:numPr>
            </w:pPr>
            <w:r>
              <w:rPr/>
              <w:t xml:space="preserve">filmgenres bespreken zoals de familiefilm, de horrorfilm, de musical, de oorlogsfilm, de propagandafilm, de sciencefiction, de thriller en de western</w:t>
            </w:r>
          </w:p>
          <w:p>
            <w:pPr>
              <w:pStyle w:val="ListParagraph"/>
              <w:numPr>
                <w:ilvl w:val="0"/>
                <w:numId w:val="30"/>
              </w:numPr>
            </w:pPr>
            <w:r>
              <w:rPr/>
              <w:t xml:space="preserve">filmtypes bespreken zoals de fictie en non-fuctiefilm, de mainstream en de experimentele film, de live-action en de animatiefilm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3.6 Niet-westerse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niet-westerse kunst bespreken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2"/>
              </w:numPr>
            </w:pPr>
            <w:r>
              <w:rPr/>
              <w:t xml:space="preserve">niet-westerse kunst met westerse kunst vergelijken</w:t>
            </w:r>
          </w:p>
          <w:p>
            <w:pPr>
              <w:pStyle w:val="ListParagraph"/>
              <w:numPr>
                <w:ilvl w:val="0"/>
                <w:numId w:val="32"/>
              </w:numPr>
            </w:pPr>
            <w:r>
              <w:rPr/>
              <w:t xml:space="preserve">kunstwerken verbinden met de juiste niet-westerse kunst: Afrikaanse kunst, Arabische kunst, Midden-Amerikaanse kunst, Oceanische kunst en Oosterse kunst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kunstgeschiedenis is een digitaal examen.</w:t>
      </w:r>
    </w:p>
    <w:p>
      <w:pPr>
        <w:jc w:val="both"/>
      </w:pPr>
      <w:r>
        <w:t xml:space="preserve">Tijdens het examen mag je gebruik maken van spellingscontrole en een eenvoudig woordenboek. We raden je aan om thuis te oefenen met deze hulpmiddelen. Je vindt op de website ook een oefenexamen waarmee je de verschillende vraagtypes kan inoefenen. Uiteraard is dit geen echt examen: de bedoeling is dat je de techniek van de digitale vraagtypes in de vingers krijgt. Alle info om je voor te bereiden vind je op onze website: www.vlaanderen.be/examencommissie-secundair-onderwijs/voorbereiding.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niets</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 Kunst van de klassieke oudheid tot de 18e eeuw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 Kunst van de 18e en de 19e eeuw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 Kunst van de 20e eeuw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 Synthesevragen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of tweedehands-) boekhandel of ontlenen en raadplegen in een bibliotheek. De bibliotheken van de lerarenopleiding aan de universiteit of de hogeschool bieden heel wat leermiddelen aan in hun collectie. We verwijzen je ook door naar websites waar je vaak gratis studie-en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taal van de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Uit de kunst, deel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Een kijk op kunst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Esthetica, beeld/muziek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Kunst en Co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Te gebruiken voor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www.google.be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afbeeldingen bekijken voor alle componenten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Auteur</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Titel </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 Adriaens e.a.</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Kunst van Altamira tot heden, Nederlandse boekhandel Antwerpen, 1992</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H.W. Janson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Wereldgeschiedenis van de kunst, Houten, De Haan, 1994</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 De Visser</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Vice Versa, 's Hertogenbosch, 2012</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K. Jonckheere</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Another history of art - 2 500 jaar Europese kunstgeschiedenis, Veurne, 2020</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