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kunstgeschiedenis 2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1.</w:t>
        <w:tab/>
        <w:t>VVKSO: D/2007/0279/007</w:t>
        <w:br/>
        <w:t>2.</w:t>
        <w:tab/>
        <w:t>OVSG: 0/2/2006/121</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van kunst te kunnen genieten, zal je je best openstellen voor het nieuwe en het onbekende. Kunst kan je heel persoonlijk raken, omdat het mooi is, omdat het origineel is, omdat het knap in elkaar zit of omdat het indrukwekkend is. Iemand anders kan een totaal ander idee hebben over datzelfde kunstwerk. Jouw idee kan ook groeien of veranderen, omdat je meer te weten komt over de kunstenaar of de achtergrond. Je begrijpt dat kunst een manier is om ideeën over een samenleving te uiten of dat kunst een persoonlijke expressie kan zijn van een emotie. Kunst is eigen aan de mens en is de moeite waard om te bestuderen.</w:t>
      </w:r>
    </w:p>
    <w:p>
      <w:r>
        <w:rPr/>
        <w:t xml:space="preserve"/>
      </w:r>
      <w:r>
        <w:rPr>
          <w:color w:val="00B050"/>
        </w:rPr>
        <w:t/>
      </w:r>
    </w:p>
    <w:p w14:paraId="70391787" w14:textId="3DB223A8" w:rsidR="00047953" w:rsidRDefault="001D02B3" w:rsidP="0082741A">
      <w:r>
        <w:rPr>
          <w:color w:val="00B050"/>
        </w:rPr>
        <w:t/>
      </w:r>
      <w:r>
        <w:t/>
      </w:r>
      <w:r>
        <w:rPr/>
        <w:t xml:space="preserve">Kunst appreciëren doe je niet zomaar. Het is belangrijk om kennis te verzamelen over kunst uit het verleden. In de tweede graad kijk je naar stijlstromingen en kunstuitingen uit de periode van de prehistorie tot de 18e eeuw. We verwachten ook dat je leert kijken naar kunst en typische vormkenmerken, technieken, materialen en genres ontdekt. Je leert de juiste kunsthistorische begrippen hanteren, je leert verbanden leggen tussen verschillende periodes en je kan kunstwerken plaatsen in een context van tijd en plaats. Om te kunnen doorstromen naar het hoger onderwijs of een artistiek beroep zullen deze vaardigheden zeker van pas komen.</w:t>
        <w:br/>
        <w:t xml:space="preserve"/>
        <w:br/>
        <w:t xml:space="preserve">Voor dit vak moet je geen opdracht maken. Toch kan het zinvol zijn om een link te leggen tussen je opdrachten voor de praktijkvakken en dit vak. Zo begrijp je dat je eigen werk mee bepaald is door kunst uit het verleden.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Algemene competenties voor alle leerinhouden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 prehistorie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Egypte en het Nabije Oosten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De Griekse beschavingen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De Romeinse beschaving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De Byzantijnse kunst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De middeleeuwen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De renaissance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De barok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krijgt in de eerste tabel een overzicht van alle competenties die je moet beheersen. De competenties zijn telkens toegepast op een concreet voorbeeld. In de volgende tabellen krijg je een overzicht van de leerinhouden die je voor dit vak moet beheersen. Op alle leerinhouden zal je de competenties uit de eerste tabel moeten toepassen. </w:t>
        <w:br/>
        <w:t xml:space="preserve"/>
        <w:br/>
        <w:t xml:space="preserve">('kunst’ wordt hier als algemeen begrip gebruikt voor alle leerinhouden)</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Algemene competenties voor alle leerinhouden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Welke competentie moet je beheersen?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Voorbeeld van een toepassing van de competenties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 Je kan doelbewust kijken naar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analyse van de compositie van een schilderij van Velázquez</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 Je kan kunst analyseren op basis van een specifieke vraagstelling.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Het gebruik van christelijke symbolen in de basilica van de Byzantijnse beschaving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3. Je kan in woorden omschrijven hoe jij kunst ervaart.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emotie bij een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4. Je kan de evolutie van kunst in de tijd omschrijven.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evolutie van de piramides in Egypte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5. Je kan omschrijven hoe kunst een reactie is op kunst uit een vorige periode.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relatie tussen de Minoïsche en de Griekse kunst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6. Je kan omschrijven waar de benaming van een kunststroming vandaan komt.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betekenis van de renaissance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7. Je kan kunst in de juiste tijd situeren en chronologisch ordenen.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steen van Rosetta in de Egyptische beschaving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8. Je kan omschrijven hoe de tijd waarin het kunstwerk tot stand komt een effect heeft op het kunstwerk zelf en op de kunstenaar.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Relatie tussen opvattingen over leven en dood in het oude Egypte en Egyptische kunst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9. Je kan kunst op de juiste plaats situeren.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Kunstwerken in Kreta of Mycene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10. Je kan omschrijven hoe de plaats waar het kunstwerk tot stand komt een effect heeft op het kunstwerk zelf en op de kunstenaar.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Het verschil tussen de renaissance binnen en buiten Italië</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11. Je kan omschrijven hoe de maatschappelijke context waarin het kunstwerk tot stand komt een effect heeft op het kunstwerk zelf en op de kunstenaar.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Relatie tussen magie, seksualiteit en kunst in de prehistorie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12. Je kan een kunstwerk verbinden met de juiste stijlstroming en motiveren waarom.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Een schilderij van Watteau uit de rococo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13. Je kan stijlkenmerken aanduiden op een kunstwerk en 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Kenmerken van een romaanse kerk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14. Je kan stijlkenmerken verbinden met de juiste stijlstroming.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Kenmerken van de gotiek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15. Je kan stijlkenmerken van een stijlstroming opsommen.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delen van een tempel uit de klassieke oudheid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16. Je kan de juiste kunsthistorische begrippen en basisbegrippen uit de kunst hanteren. De begrippen die in de vakfiche staan, kan je 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Begrippen als tempo, ritme, vorm, compositie, volume, evenwicht, expressie, harmonie, melodie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17. Je kan de meest voorkomende materialen en technieken uit de kunst bespreken en verbinden met de juiste stijlstroming.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Technieken en materialen uit de Etruskische kunst zoals filigraan, granuleren en terracotta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18. Je kan de meest voorkomende genres en onderwerpen uit de kunst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belangrijkste operagenres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19. Je kan het werk van de belangrijkste vertegenwoordigers van een stijlstroming herkennen.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Vertegenwoordigers van de Vlaamse polyfonie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20. Je kan de belangrijkste vertegenwoordigers van een stijlstroming opsommen. De namen van de kunstenaars die in de vakfiche staan, kan je verbinden met de juiste stijlstroming.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Vertegenwoordigers van de barokke schilderkunst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21. Je kan kunstwerken met elkaar 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invloed van de Griekse bouwkunst op de Romeinse bouwkunst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22. Je kan kunstwerken bespreken aan de hand van kijkwijzers.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Kijkwijzer van beeldhouwkunst met vragen over materiaal, gereedschap, kleur, textuur, installatie, reliëf, licht en schaduw, verhouding tot de ruimte, compositie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23. Je kan onderzoeksvaardigheden in een kunsthistorische context hanteren: je kan teksten analyseren en kritisch benaderen, je kan recensies vergelijken, je kan websites van musea analyseren…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Teksten van een website van een kunsthistorisch museum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 prehistorie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Beeldhouwkunst in de prehistorie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8"/>
              </w:numPr>
            </w:pPr>
            <w:r>
              <w:rPr/>
              <w:t xml:space="preserve">megalithische monumenten bespreken zoals dolmen, menhir, steencirkel</w:t>
            </w:r>
          </w:p>
          <w:p>
            <w:pPr>
              <w:pStyle w:val="ListParagraph"/>
              <w:numPr>
                <w:ilvl w:val="0"/>
                <w:numId w:val="8"/>
              </w:numPr>
            </w:pPr>
            <w:r>
              <w:rPr/>
              <w:t xml:space="preserve">steen- en metaaltijden situeren in de tijd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Bouwkunst in de prehistorie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0"/>
              </w:numPr>
            </w:pPr>
            <w:r>
              <w:rPr/>
              <w:t xml:space="preserve">vruchtbaarheidsbeeldjes bespreken zoals de Venus van Willendorf</w:t>
            </w:r>
          </w:p>
          <w:p>
            <w:pPr>
              <w:pStyle w:val="ListParagraph"/>
              <w:numPr>
                <w:ilvl w:val="0"/>
                <w:numId w:val="10"/>
              </w:numPr>
            </w:pPr>
            <w:r>
              <w:rPr/>
              <w:t xml:space="preserve">de verwevenheid van magie, seksualiteit en kunst bespreken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Schilderkunst in de prehistorie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grotschilderingen bespreken zoals in de grot van Altamira en Lascaux</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Egypte en het Nabije Oosten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Beeldhouwkunst in Egypte en het Nabije Oosten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Egyptische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2"/>
              </w:numPr>
            </w:pPr>
            <w:r>
              <w:rPr/>
              <w:t xml:space="preserve">tempelbeelden bespreken zoals in de tempels van Abou Simbel</w:t>
            </w:r>
          </w:p>
          <w:p>
            <w:pPr>
              <w:pStyle w:val="ListParagraph"/>
              <w:numPr>
                <w:ilvl w:val="0"/>
                <w:numId w:val="12"/>
              </w:numPr>
            </w:pPr>
            <w:r>
              <w:rPr/>
              <w:t xml:space="preserve">sfinxen bespreken zoals de grote sfinx van Gizeh</w:t>
            </w:r>
          </w:p>
          <w:p>
            <w:pPr>
              <w:pStyle w:val="ListParagraph"/>
              <w:numPr>
                <w:ilvl w:val="0"/>
                <w:numId w:val="12"/>
              </w:numPr>
            </w:pPr>
            <w:r>
              <w:rPr/>
              <w:t xml:space="preserve">grafsculpturen bespreken zoals die van Rahotep en Nofret</w:t>
            </w:r>
          </w:p>
          <w:p>
            <w:pPr>
              <w:pStyle w:val="ListParagraph"/>
              <w:numPr>
                <w:ilvl w:val="0"/>
                <w:numId w:val="12"/>
              </w:numPr>
            </w:pPr>
            <w:r>
              <w:rPr/>
              <w:t xml:space="preserve">koningsbeelden bespreken zoals die van Chefren en Nefertete</w:t>
            </w:r>
          </w:p>
          <w:p>
            <w:pPr>
              <w:pStyle w:val="ListParagraph"/>
              <w:numPr>
                <w:ilvl w:val="0"/>
                <w:numId w:val="12"/>
              </w:numPr>
            </w:pPr>
            <w:r>
              <w:rPr/>
              <w:t xml:space="preserve">reliëfs bespreken zoals het palet van Narmer</w:t>
            </w:r>
          </w:p>
          <w:p>
            <w:pPr>
              <w:pStyle w:val="ListParagraph"/>
              <w:numPr>
                <w:ilvl w:val="0"/>
                <w:numId w:val="12"/>
              </w:numPr>
            </w:pPr>
            <w:r>
              <w:rPr/>
              <w:t xml:space="preserve">sarcofagen en dodenmaskers bespreken zoals het dodenmasker van Toetanchamon</w:t>
            </w:r>
          </w:p>
          <w:p>
            <w:pPr>
              <w:pStyle w:val="ListParagraph"/>
              <w:numPr>
                <w:ilvl w:val="0"/>
                <w:numId w:val="12"/>
              </w:numPr>
            </w:pPr>
            <w:r>
              <w:rPr/>
              <w:t xml:space="preserve">hiërogliefen bespreken zoals de steen van Rosetta</w:t>
            </w:r>
          </w:p>
          <w:p>
            <w:pPr>
              <w:pStyle w:val="ListParagraph"/>
              <w:numPr>
                <w:ilvl w:val="0"/>
                <w:numId w:val="12"/>
              </w:numPr>
            </w:pPr>
            <w:r>
              <w:rPr/>
              <w:t xml:space="preserve">de verhouding tussen kunst, religie en politiek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Mesopotamische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4"/>
              </w:numPr>
            </w:pPr>
            <w:r>
              <w:rPr/>
              <w:t xml:space="preserve">kleitabletten bespreken zoals dat van Gilgamesj</w:t>
            </w:r>
          </w:p>
          <w:p>
            <w:pPr>
              <w:pStyle w:val="ListParagraph"/>
              <w:numPr>
                <w:ilvl w:val="0"/>
                <w:numId w:val="14"/>
              </w:numPr>
            </w:pPr>
            <w:r>
              <w:rPr/>
              <w:t xml:space="preserve">vrijstaande beelden bespreken zoals die van Sargon van Akkad of de wetstèle van Hammurabi</w:t>
            </w:r>
          </w:p>
          <w:p>
            <w:pPr>
              <w:pStyle w:val="ListParagraph"/>
              <w:numPr>
                <w:ilvl w:val="0"/>
                <w:numId w:val="14"/>
              </w:numPr>
            </w:pPr>
            <w:r>
              <w:rPr/>
              <w:t xml:space="preserve">reliëfs bespreken zoals de Assyrische reliëfs in Chorsabad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Bouwkunst in Egypte en het Nabije Oosten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Egyptische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6"/>
              </w:numPr>
            </w:pPr>
            <w:r>
              <w:rPr/>
              <w:t xml:space="preserve">mastaba’s bespreken zoals die van Mereruka</w:t>
            </w:r>
          </w:p>
          <w:p>
            <w:pPr>
              <w:pStyle w:val="ListParagraph"/>
              <w:numPr>
                <w:ilvl w:val="0"/>
                <w:numId w:val="16"/>
              </w:numPr>
            </w:pPr>
            <w:r>
              <w:rPr/>
              <w:t xml:space="preserve">soorten piramides en hun evolutie bespreken zoals de trappiramide van Djoser, de knikpiramide van Snofroe en de piramides van Gizeh</w:t>
            </w:r>
          </w:p>
          <w:p>
            <w:pPr>
              <w:pStyle w:val="ListParagraph"/>
              <w:numPr>
                <w:ilvl w:val="0"/>
                <w:numId w:val="16"/>
              </w:numPr>
            </w:pPr>
            <w:r>
              <w:rPr/>
              <w:t xml:space="preserve">soorten tempels bespreken zoals de cultustempel van Amon, de dodentempel van Hatsjepsoet en de tempels van Abou Simbel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Mesopotamische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8"/>
              </w:numPr>
            </w:pPr>
            <w:r>
              <w:rPr/>
              <w:t xml:space="preserve">ziggurats bespreken zoals die van Ur</w:t>
            </w:r>
          </w:p>
          <w:p>
            <w:pPr>
              <w:pStyle w:val="ListParagraph"/>
              <w:numPr>
                <w:ilvl w:val="0"/>
                <w:numId w:val="18"/>
              </w:numPr>
            </w:pPr>
            <w:r>
              <w:rPr/>
              <w:t xml:space="preserve">paleizen en vestingen bespreken zoals het Paleis van Nebukadnezar II en de Vesting van Sargon</w:t>
            </w:r>
          </w:p>
          <w:p>
            <w:pPr>
              <w:pStyle w:val="ListParagraph"/>
              <w:numPr>
                <w:ilvl w:val="0"/>
                <w:numId w:val="18"/>
              </w:numPr>
            </w:pPr>
            <w:r>
              <w:rPr/>
              <w:t xml:space="preserve">poorten bespreken zoals de Isjtarpoort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Schilderkunst in Egypte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Egyptische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fresco’s bespreken zoals de fresco’s in graven, tempels en sarcofagen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De Griekse beschavingen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Beeldhouwkunst in de Griekse beschavingen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Minoïsche of Kretenzische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0"/>
              </w:numPr>
            </w:pPr>
            <w:r>
              <w:rPr/>
              <w:t xml:space="preserve">slangengodinnen bespreken zoals die van Kreta</w:t>
            </w:r>
          </w:p>
          <w:p>
            <w:pPr>
              <w:pStyle w:val="ListParagraph"/>
              <w:numPr>
                <w:ilvl w:val="0"/>
                <w:numId w:val="20"/>
              </w:numPr>
            </w:pPr>
            <w:r>
              <w:rPr/>
              <w:t xml:space="preserve">lineair A tabletten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Myceense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2"/>
              </w:numPr>
            </w:pPr>
            <w:r>
              <w:rPr/>
              <w:t xml:space="preserve">juwelen bespreken zoals de diadeem van Mycene en het dodenmasker van Agamemnon</w:t>
            </w:r>
          </w:p>
          <w:p>
            <w:pPr>
              <w:pStyle w:val="ListParagraph"/>
              <w:numPr>
                <w:ilvl w:val="0"/>
                <w:numId w:val="22"/>
              </w:numPr>
            </w:pPr>
            <w:r>
              <w:rPr/>
              <w:t xml:space="preserve">bekers bespreken zoals de bekers van Vaphio</w:t>
            </w:r>
          </w:p>
          <w:p>
            <w:pPr>
              <w:pStyle w:val="ListParagraph"/>
              <w:numPr>
                <w:ilvl w:val="0"/>
                <w:numId w:val="22"/>
              </w:numPr>
            </w:pPr>
            <w:r>
              <w:rPr/>
              <w:t xml:space="preserve">lineair B tabletten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Griekse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4"/>
              </w:numPr>
            </w:pPr>
            <w:r>
              <w:rPr/>
              <w:t xml:space="preserve">de archaïsche periode bespreken zoals de kouros en de korè</w:t>
            </w:r>
          </w:p>
          <w:p>
            <w:pPr>
              <w:pStyle w:val="ListParagraph"/>
              <w:numPr>
                <w:ilvl w:val="0"/>
                <w:numId w:val="24"/>
              </w:numPr>
            </w:pPr>
            <w:r>
              <w:rPr/>
              <w:t xml:space="preserve">de klassieke periode bespreken zoals de discuswerper en de Venus van Milo</w:t>
            </w:r>
          </w:p>
          <w:p>
            <w:pPr>
              <w:pStyle w:val="ListParagraph"/>
              <w:numPr>
                <w:ilvl w:val="0"/>
                <w:numId w:val="24"/>
              </w:numPr>
            </w:pPr>
            <w:r>
              <w:rPr/>
              <w:t xml:space="preserve">de hellenistische periode bespreken zoals de Nikè van Samothrake en de Laocoöngroep</w:t>
            </w:r>
          </w:p>
          <w:p>
            <w:pPr>
              <w:pStyle w:val="ListParagraph"/>
              <w:numPr>
                <w:ilvl w:val="0"/>
                <w:numId w:val="24"/>
              </w:numPr>
            </w:pPr>
            <w:r>
              <w:rPr/>
              <w:t xml:space="preserve">het Griekse schoonheidsideaal bespreken</w:t>
            </w:r>
          </w:p>
          <w:p>
            <w:pPr>
              <w:pStyle w:val="ListParagraph"/>
              <w:numPr>
                <w:ilvl w:val="0"/>
                <w:numId w:val="24"/>
              </w:numPr>
            </w:pPr>
            <w:r>
              <w:rPr/>
              <w:t xml:space="preserve">begrippen zoals antropocentrisme en contraposthouding bespreken</w:t>
            </w:r>
          </w:p>
          <w:p>
            <w:pPr>
              <w:pStyle w:val="ListParagraph"/>
              <w:numPr>
                <w:ilvl w:val="0"/>
                <w:numId w:val="24"/>
              </w:numPr>
            </w:pPr>
            <w:r>
              <w:rPr/>
              <w:t xml:space="preserve">de invloed van de Minoïsche cultuur op de Griekse cultuur bespreken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Bouwkunst in de Griekse beschavingen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Minoïsche of Kretenzische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paleizen en zuilen bespreken zoals het paleis van Knossos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Myceense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6"/>
              </w:numPr>
            </w:pPr>
            <w:r>
              <w:rPr/>
              <w:t xml:space="preserve">burchten bespreken zoals de burcht en de leeuwenpoort in Mycene</w:t>
            </w:r>
          </w:p>
          <w:p>
            <w:pPr>
              <w:pStyle w:val="ListParagraph"/>
              <w:numPr>
                <w:ilvl w:val="0"/>
                <w:numId w:val="26"/>
              </w:numPr>
            </w:pPr>
            <w:r>
              <w:rPr/>
              <w:t xml:space="preserve">graven bespreken zoals de schachtgraven in Mycene en het koepelgraf van Atreus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Griekse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8"/>
              </w:numPr>
            </w:pPr>
            <w:r>
              <w:rPr/>
              <w:t xml:space="preserve">tempels bespreken zoals die van de Akropolis in Athene</w:t>
            </w:r>
          </w:p>
          <w:p>
            <w:pPr>
              <w:pStyle w:val="ListParagraph"/>
              <w:numPr>
                <w:ilvl w:val="0"/>
                <w:numId w:val="28"/>
              </w:numPr>
            </w:pPr>
            <w:r>
              <w:rPr/>
              <w:t xml:space="preserve">delen van een zuil en een tempel aanduiden en benoemen</w:t>
            </w:r>
          </w:p>
          <w:p>
            <w:pPr>
              <w:pStyle w:val="ListParagraph"/>
              <w:numPr>
                <w:ilvl w:val="0"/>
                <w:numId w:val="28"/>
              </w:numPr>
            </w:pPr>
            <w:r>
              <w:rPr/>
              <w:t xml:space="preserve">kenmerken van de Dorische, Ionische en Korintische zuil bespreken</w:t>
            </w:r>
          </w:p>
          <w:p>
            <w:pPr>
              <w:pStyle w:val="ListParagraph"/>
              <w:numPr>
                <w:ilvl w:val="0"/>
                <w:numId w:val="28"/>
              </w:numPr>
            </w:pPr>
            <w:r>
              <w:rPr/>
              <w:t xml:space="preserve">theaters bespreken zoals het theater van Epidauros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Schilderkunst en vaatwerk in de Griekse beschavingen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Minoïsche of Kretenzische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0"/>
              </w:numPr>
            </w:pPr>
            <w:r>
              <w:rPr/>
              <w:t xml:space="preserve">fresco’s bespreken zoals die van Knossos en Phaistos</w:t>
            </w:r>
          </w:p>
          <w:p>
            <w:pPr>
              <w:pStyle w:val="ListParagraph"/>
              <w:numPr>
                <w:ilvl w:val="0"/>
                <w:numId w:val="30"/>
              </w:numPr>
            </w:pPr>
            <w:r>
              <w:rPr/>
              <w:t xml:space="preserve">keramiek bespreken zoals de kenmerken van de vroeg- en laat-Minoïsche keramiek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Myceense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fresco’s bespreken zoals de Myceense vrouw in het huis van de hogepriester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Griekse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2"/>
              </w:numPr>
            </w:pPr>
            <w:r>
              <w:rPr/>
              <w:t xml:space="preserve">vazen bespreken zoals vazen in de geometrische stijl, de roodfigurige en de zwartfigurige stijl</w:t>
            </w:r>
          </w:p>
          <w:p>
            <w:pPr>
              <w:pStyle w:val="ListParagraph"/>
              <w:numPr>
                <w:ilvl w:val="0"/>
                <w:numId w:val="32"/>
              </w:numPr>
            </w:pPr>
            <w:r>
              <w:rPr/>
              <w:t xml:space="preserve">mozaïeken bespreken zoals de Alexandermozaïek in Pompeji</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De Romeinse beschaving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Beeldhouwkunst in de Romeinse beschaving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Etruskische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4"/>
              </w:numPr>
            </w:pPr>
            <w:r>
              <w:rPr/>
              <w:t xml:space="preserve">sarcofagen bespreken zoals die van het Etruskisch echtpaar</w:t>
            </w:r>
          </w:p>
          <w:p>
            <w:pPr>
              <w:pStyle w:val="ListParagraph"/>
              <w:numPr>
                <w:ilvl w:val="0"/>
                <w:numId w:val="34"/>
              </w:numPr>
            </w:pPr>
            <w:r>
              <w:rPr/>
              <w:t xml:space="preserve">beelden bespreken zoals de Apollo van Veii</w:t>
            </w:r>
          </w:p>
          <w:p>
            <w:pPr>
              <w:pStyle w:val="ListParagraph"/>
              <w:numPr>
                <w:ilvl w:val="0"/>
                <w:numId w:val="34"/>
              </w:numPr>
            </w:pPr>
            <w:r>
              <w:rPr/>
              <w:t xml:space="preserve">materialen en technieken bespreken zoals filigraan, granuleren en terracotta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Romeinse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6"/>
              </w:numPr>
            </w:pPr>
            <w:r>
              <w:rPr/>
              <w:t xml:space="preserve">reliëfs bespreken zoals die op de triomfboog van keizer Constantijn en op de Zuil van Trajanus</w:t>
            </w:r>
          </w:p>
          <w:p>
            <w:pPr>
              <w:pStyle w:val="ListParagraph"/>
              <w:numPr>
                <w:ilvl w:val="0"/>
                <w:numId w:val="36"/>
              </w:numPr>
            </w:pPr>
            <w:r>
              <w:rPr/>
              <w:t xml:space="preserve">beelden bespreken zoals Augustus van Prima Porta, de Capitolijnse Brutus en Marcus Aurelius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Bouwkunst in de Romeinse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Etruskische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grafkamers bespreken zoals de necropolis in Tarquinia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Romeinse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8"/>
              </w:numPr>
            </w:pPr>
            <w:r>
              <w:rPr/>
              <w:t xml:space="preserve">tempels bespreken zoals het Maison Carrée en het Pantheon</w:t>
            </w:r>
          </w:p>
          <w:p>
            <w:pPr>
              <w:pStyle w:val="ListParagraph"/>
              <w:numPr>
                <w:ilvl w:val="0"/>
                <w:numId w:val="38"/>
              </w:numPr>
            </w:pPr>
            <w:r>
              <w:rPr/>
              <w:t xml:space="preserve">burgerlijke bouwkunst zoals amfitheaters, aquaducten, atriumhuizen, basilica, forum, insulae, thermen en triomfbogen bespreken</w:t>
            </w:r>
          </w:p>
          <w:p>
            <w:pPr>
              <w:pStyle w:val="ListParagraph"/>
              <w:numPr>
                <w:ilvl w:val="0"/>
                <w:numId w:val="38"/>
              </w:numPr>
            </w:pPr>
            <w:r>
              <w:rPr/>
              <w:t xml:space="preserve">gedenktekens zoals de triomfboog van Constantijn en de Zuil van Trajanus bespreken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Schilderkunst en mozaïeken in de Romeinse beschaving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Etruskische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fresco’s bespreken zoals die van de graven in de necropolis van Tarquinia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Romeinse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fresco’s en mozaïeken bespreken zoals die van Pompeji</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De Byzantijnse kunst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Beeldhouwkunst in de Byzantijnse periode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Byzantijnse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sarcofagen bespreken zoals de Sarcofaag van Junius Bassus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Bouwkunst in de Byzantijnse periode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Byzantijnse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0"/>
              </w:numPr>
            </w:pPr>
            <w:r>
              <w:rPr/>
              <w:t xml:space="preserve">basilieken uit de vroeg-Christelijke beschaving bespreken zoals de San Apollinare in Classe</w:t>
            </w:r>
          </w:p>
          <w:p>
            <w:pPr>
              <w:pStyle w:val="ListParagraph"/>
              <w:numPr>
                <w:ilvl w:val="0"/>
                <w:numId w:val="40"/>
              </w:numPr>
            </w:pPr>
            <w:r>
              <w:rPr/>
              <w:t xml:space="preserve">basilieken met centraalbouw bespreken zoals de San Vitale in Ravenna</w:t>
            </w:r>
          </w:p>
          <w:p>
            <w:pPr>
              <w:pStyle w:val="ListParagraph"/>
              <w:numPr>
                <w:ilvl w:val="0"/>
                <w:numId w:val="40"/>
              </w:numPr>
            </w:pPr>
            <w:r>
              <w:rPr/>
              <w:t xml:space="preserve">basilieken met koepelbouw bespreken zoals de Aya Sophia in Istanbul</w:t>
            </w:r>
          </w:p>
          <w:p>
            <w:pPr>
              <w:pStyle w:val="ListParagraph"/>
              <w:numPr>
                <w:ilvl w:val="0"/>
                <w:numId w:val="40"/>
              </w:numPr>
            </w:pPr>
            <w:r>
              <w:rPr/>
              <w:t xml:space="preserve">catacomben bespreken zoals de Catacomben van Priscilla</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Iconen, miniaturen en mozaïeken in de Byzantijnse periode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Byzantijnse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2"/>
              </w:numPr>
            </w:pPr>
            <w:r>
              <w:rPr/>
              <w:t xml:space="preserve">iconen bespreken zoals de iconen uit de orthodoxe kerk</w:t>
            </w:r>
          </w:p>
          <w:p>
            <w:pPr>
              <w:pStyle w:val="ListParagraph"/>
              <w:numPr>
                <w:ilvl w:val="0"/>
                <w:numId w:val="42"/>
              </w:numPr>
            </w:pPr>
            <w:r>
              <w:rPr/>
              <w:t xml:space="preserve">mozaïeken bespreken zoals die van keizer Justinianus in Ravenna</w:t>
            </w:r>
          </w:p>
          <w:p>
            <w:pPr>
              <w:pStyle w:val="ListParagraph"/>
              <w:numPr>
                <w:ilvl w:val="0"/>
                <w:numId w:val="42"/>
              </w:numPr>
            </w:pPr>
            <w:r>
              <w:rPr/>
              <w:t xml:space="preserve">miniaturen bespreken zoals miniatuurkunst in christelijke boeken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De middeleeuwen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Beeldhouwkunst in de middeleeuwen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Karolingische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losstaande beelden bespreken zoals het ruiterbeeldje van Karel de Grote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4"/>
              </w:numPr>
            </w:pPr>
            <w:r>
              <w:rPr/>
              <w:t xml:space="preserve">beelden als onderdeel van timpaan, portaal of interieur van kerken bespreken zoals de Saint-Lazare kathedraal in Autun</w:t>
            </w:r>
          </w:p>
          <w:p>
            <w:pPr>
              <w:pStyle w:val="ListParagraph"/>
              <w:numPr>
                <w:ilvl w:val="0"/>
                <w:numId w:val="44"/>
              </w:numPr>
            </w:pPr>
            <w:r>
              <w:rPr/>
              <w:t xml:space="preserve">losstaande beeldhouwkunst bespreken zoals de doopvont van St.-Barthélemy in Luik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beelden als onderdeel van timpaan, portaal of interieur van kerken bespreken zoals de kathedraal in Chartres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Bouwkunst in de middeleeuwen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Karolingische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kerken bespreken zoals de paleiskapel in 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kerken bespreken zoals de Madeleine kerk in Vézelay (grondplan, gewelf, ramen, zuilen, bogen)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6"/>
              </w:numPr>
            </w:pPr>
            <w:r>
              <w:rPr/>
              <w:t xml:space="preserve">kerken bespreken zoals de kathedraal van Chartres (grondplan, ramen, zuilen, gewelf, luchtbogen, steunberen)</w:t>
            </w:r>
          </w:p>
          <w:p>
            <w:pPr>
              <w:pStyle w:val="ListParagraph"/>
              <w:numPr>
                <w:ilvl w:val="0"/>
                <w:numId w:val="46"/>
              </w:numPr>
            </w:pPr>
            <w:r>
              <w:rPr/>
              <w:t xml:space="preserve">functies van een kathedraal in de stad bespreken</w:t>
            </w:r>
          </w:p>
          <w:p>
            <w:pPr>
              <w:pStyle w:val="ListParagraph"/>
              <w:numPr>
                <w:ilvl w:val="0"/>
                <w:numId w:val="46"/>
              </w:numPr>
            </w:pPr>
            <w:r>
              <w:rPr/>
              <w:t xml:space="preserve">belangrijkste bouwwerken in een stad bespreken: belfort, lakenhalle, stadhuis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Schilderkunst en andere kunstvormen in de middeleeuwen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Karolingische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miniaturen bespreken zoals die uit de evangeliaria van de Karolingische renaissance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wandtapijten bespreken zoals het tapijt van Bayeux</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8"/>
              </w:numPr>
            </w:pPr>
            <w:r>
              <w:rPr/>
              <w:t xml:space="preserve">schilderkunst in Italië bespreken zoals werken van Cimabue en Giotto</w:t>
            </w:r>
          </w:p>
          <w:p>
            <w:pPr>
              <w:pStyle w:val="ListParagraph"/>
              <w:numPr>
                <w:ilvl w:val="0"/>
                <w:numId w:val="48"/>
              </w:numPr>
            </w:pPr>
            <w:r>
              <w:rPr/>
              <w:t xml:space="preserve">schilderkunst in de Nederlanden bespreken zoals het Kruisigingsretabel van Melchior Broederlam</w:t>
            </w:r>
          </w:p>
          <w:p>
            <w:pPr>
              <w:pStyle w:val="ListParagraph"/>
              <w:numPr>
                <w:ilvl w:val="0"/>
                <w:numId w:val="48"/>
              </w:numPr>
            </w:pPr>
            <w:r>
              <w:rPr/>
              <w:t xml:space="preserve">schilderkunst van de Vlaamse Primitieven bespreken zoals werken van Jeroen Bosch, Hans Memling, Rogier Van der Weyden en de Gebroeders Van Eyck</w:t>
            </w:r>
          </w:p>
          <w:p>
            <w:pPr>
              <w:pStyle w:val="ListParagraph"/>
              <w:numPr>
                <w:ilvl w:val="0"/>
                <w:numId w:val="48"/>
              </w:numPr>
            </w:pPr>
            <w:r>
              <w:rPr/>
              <w:t xml:space="preserve">Gregoriaanse muziek bespreken zoals de muziek uit de liturgie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De renaissance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Beeldhouwkunst in de renaissance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vroege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losstaande beelden bespreken zoals de David van Donatello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hoog-renaissance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losstaande beelden bespreken zoals de David en de Pièta van Michelangelo</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Bouwkunst in de renaissance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vroege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0"/>
              </w:numPr>
            </w:pPr>
            <w:r>
              <w:rPr/>
              <w:t xml:space="preserve">kerken bespreken zoals de Santa Maria del Fiore in Firenze</w:t>
            </w:r>
          </w:p>
          <w:p>
            <w:pPr>
              <w:pStyle w:val="ListParagraph"/>
              <w:numPr>
                <w:ilvl w:val="0"/>
                <w:numId w:val="50"/>
              </w:numPr>
            </w:pPr>
            <w:r>
              <w:rPr/>
              <w:t xml:space="preserve">burgerlijke bouwkunst bespreken zoals de palazzi in Firenze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Schilderkunst en andere kunstvormen in de renaissance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vroege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fresco’s en schilderijen bespreken zoals werken van Boticelli, Mantegna en Masaccio in Firenze en Mantua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hoog-renaissance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2"/>
              </w:numPr>
            </w:pPr>
            <w:r>
              <w:rPr/>
              <w:t xml:space="preserve">fresco’s en schilderijen bespreken zoals werken van da Vinci en Michelangelo</w:t>
            </w:r>
          </w:p>
          <w:p>
            <w:pPr>
              <w:pStyle w:val="ListParagraph"/>
              <w:numPr>
                <w:ilvl w:val="0"/>
                <w:numId w:val="52"/>
              </w:numPr>
            </w:pPr>
            <w:r>
              <w:rPr/>
              <w:t xml:space="preserve">begrippen zoals 'homo universalis’ en 'mecenaat'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laat-renaissance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schilderijen bespreken zoals werken van Rafaël en Titiaan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renaissance buiten Italië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4"/>
              </w:numPr>
            </w:pPr>
            <w:r>
              <w:rPr/>
              <w:t xml:space="preserve">schilderijen bespreken zoals werken van Pieter Breughel de Oude en Hans Holbein de Jonge</w:t>
            </w:r>
          </w:p>
          <w:p>
            <w:pPr>
              <w:pStyle w:val="ListParagraph"/>
              <w:numPr>
                <w:ilvl w:val="0"/>
                <w:numId w:val="54"/>
              </w:numPr>
            </w:pPr>
            <w:r>
              <w:rPr/>
              <w:t xml:space="preserve">Vlaamse polyfonie bespreken zoals werken van Ockeghem, Lassus en Des Prez</w:t>
            </w:r>
          </w:p>
          <w:p>
            <w:pPr>
              <w:pStyle w:val="ListParagraph"/>
              <w:numPr>
                <w:ilvl w:val="0"/>
                <w:numId w:val="54"/>
              </w:numPr>
            </w:pPr>
            <w:r>
              <w:rPr/>
              <w:t xml:space="preserve">kopergravures bespreken zoals werken van Dürer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De barok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Beeldhouwkunst in de barok</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losstaande beelden bespreken zoals de David van Bernini</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Bouwkunst in de barok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kerken bespreken zoals de Il Gesùkerk in Rome en de Carolus Borromeuskerk in Antwerpen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rococo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kerken bespreken zoals de Vierzehnheiligenbasiliek in Bad Staffelstein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Schilderkunst en andere kunstvormen in de barok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6"/>
              </w:numPr>
            </w:pPr>
            <w:r>
              <w:rPr/>
              <w:t xml:space="preserve">schilderijen bespreken zoals de werken van Caravaggio, Hals, Jordaens, Rembrandt, Rubens, van Dyck, Velázquez, Vermeer</w:t>
            </w:r>
          </w:p>
          <w:p>
            <w:pPr>
              <w:pStyle w:val="ListParagraph"/>
              <w:numPr>
                <w:ilvl w:val="0"/>
                <w:numId w:val="56"/>
              </w:numPr>
            </w:pPr>
            <w:r>
              <w:rPr/>
              <w:t xml:space="preserve">barokmuziek bespreken zoals werken van J.S. Bach, Händel, Monteverdi, Purcell en Vivaldi</w:t>
            </w:r>
          </w:p>
          <w:p>
            <w:pPr>
              <w:pStyle w:val="ListParagraph"/>
              <w:numPr>
                <w:ilvl w:val="0"/>
                <w:numId w:val="56"/>
              </w:numPr>
            </w:pPr>
            <w:r>
              <w:rPr/>
              <w:t xml:space="preserve">het ontstaan van de opera en de belangrijkste operagenres bespreken zoals de musical, het muzikaal drama, de opera buffa, de opera seria en de operette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rococo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schilderijen bespreken zoals werken van Fragonard en Watteau</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kunstgeschiedenis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niets</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Voor de open vragen bekijken de correctoren of je antwoord:</w:t>
      </w:r>
    </w:p>
    <w:p>
      <w:pPr>
        <w:jc w:val="both"/>
      </w:pPr>
      <w:r>
        <w:t xml:space="preserve">-een volledig en duidelijk antwoord is op de vraag;</w:t>
      </w:r>
    </w:p>
    <w:p>
      <w:pPr>
        <w:jc w:val="both"/>
      </w:pPr>
      <w:r>
        <w:t xml:space="preserve">-ondubbelzinnig is;</w:t>
      </w:r>
    </w:p>
    <w:p>
      <w:pPr>
        <w:jc w:val="both"/>
      </w:pPr>
      <w:r>
        <w:t xml:space="preserve">-duidelijk gestructureerd is.</w:t>
      </w:r>
    </w:p>
    <w:p>
      <w:pPr>
        <w:jc w:val="both"/>
      </w:pPr>
      <w:r>
        <w:t xml:space="preserve">Soms kan je ook voor een gedeeltelijk juist antwoord punten scoren.</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 De prehistorie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 Egypte en het Nabije Oosten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3 De Griekse beschavingen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4 De Romeinse beschaving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Byzantijnse kunst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6 De middeleeuwen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7 De renaissance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8 De barok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9 Stijlstromingen in de westerse cultuur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of tweedehands-) boekhandel of ontlenen en raadplegen in een bibliotheek. De bibliotheken van de lerarenopleiding aan de universiteit of de hogeschool bieden heel wat leermiddelen aan in hun collectie. We verwijzen je ook door naar websites waar je vaak gratis studie-en oefenmateriaal kan vinden.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 Als je niet onmiddellijk op de juiste website terechtkomt, kan je die proberen te vinden via een goede zoekmachine. </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taal van de kunst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Uit de kunst, deel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Een kijk op kunst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Esthetica, beeld/muziek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Kunst en Co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Te gebruiken voor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www.google.be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afbeeldingen bekijken voor alle componenten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Auteur</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Titel </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 Adriaens e.a.</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Kunst van Altamira tot heden, Nederlandse boekhandel Antwerpen, 1992</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0">
    <w:nsid w:val="0CAA7915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1">
    <w:nsid w:val="0CAA7915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2">
    <w:nsid w:val="0CAA7915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3">
    <w:nsid w:val="0CAA7915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4">
    <w:nsid w:val="0CAA7915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5">
    <w:nsid w:val="0CAA7915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6">
    <w:nsid w:val="0CAA7915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