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&amp;bull; opzoeken</w:t>
              <w:br/>
              <w:t xml:space="preserve">&amp;bull; raadplegen</w:t>
              <w:br/>
              <w:t xml:space="preserve">&amp;bull; rangschikken</w:t>
              <w:br/>
              <w:t xml:space="preserve">&amp;bull;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&amp;bull; een onderwerp verkennen</w:t>
              <w:br/>
              <w:t xml:space="preserve">&amp;bull; een hoofdvraag (of probleemstelling) en deelvraag of deelvragen formuleren</w:t>
              <w:br/>
              <w:t xml:space="preserve">&amp;bull; een werkplan met onderzoeks- en tijdsplan opmaken</w:t>
              <w:br/>
              <w:t xml:space="preserve">&amp;bull; een werkplan uitvoeren:</w:t>
              <w:br/>
              <w:t xml:space="preserve">- informatie verzamelen in functie van de deelvraag en op basis van verschillende informatiebronnen (bijv. literatuur, documenten, databestanden via deskresearch, enqu&amp;ecirc;te, interview, waarneming of observatie, media)</w:t>
              <w:br/>
              <w:t xml:space="preserve">- informatie beoordelen en verwerken en daaruit een conclusie trekken</w:t>
              <w:br/>
              <w:t xml:space="preserve">&amp;bull; een conclusie of de onderzoeksresultaten rapporteren door een intellectueel eerlijk, gestructureerd en foutloos onderzoeksverslag met korte samenvatting te schrijven volgens de vastgelegde structuur</w:t>
              <w:br/>
              <w:t xml:space="preserve">&amp;bull; een correcte bronvermelding opstellen volgens de regels van de bronvermelding</w:t>
              <w:br/>
              <w:t xml:space="preserve">&amp;bull; 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&amp;bull; een onderzoeksverslag opstellen volgens de vastgelegde structuur: titelpagina, voorwoord, inhoudsopgave, samenvatting, inleiding, kerntekst, conclusie, bronnenlijst en bijlage(n)</w:t>
              <w:br/>
              <w:t xml:space="preserve"/>
              <w:br/>
              <w:t xml:space="preserve">&amp;bull; je resultaten en conclusies confronteren met andere standpunten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w:t>
      </w:r>
      <w:r>
        <w:rPr>
          <w:i/>
        </w:rPr>
        <w:t xml:space="preserve">Met welk materiaal bereid je je voor?</w:t>
      </w:r>
      <w:r>
        <w:rPr/>
        <w:t xml:space="preserve">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w:t>
              <w:br/>
              <w:t xml:space="preserve">• 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onderzoeksverslag opstellen volgens de vastgelegde structuur: titelpagina, voorwoord, inhoudsopgave, samenvatting, inleiding, kerntekst, conclusie, bronnenlijst en bijlage(n)</w:t>
              <w:br/>
              <w:t xml:space="preserve"/>
              <w:br/>
              <w:t xml:space="preserve">• je resultaten en conclusies confronteren met andere standpunten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BIJLAGE_grammat_termen_definitief.pdf</w:t>
      </w:r>
      <w:r w:rsidRPr="003E4776">
        <w:t/>
      </w:r>
    </w:p>
    <w:p w14:paraId="499D1B0A" w14:textId="79267327" w:rsidR="0076163F" w:rsidRDefault="0076163F" w:rsidP="0076163F">
      <w:r w:rsidRPr="003E4776">
        <w:t/>
      </w:r>
      <w:r>
        <w:t>bijlage_onderzoekscomptentie.pdf</w:t>
      </w:r>
      <w:r w:rsidRPr="003E4776">
        <w:t/>
      </w:r>
    </w:p>
    <w:p w14:paraId="499D1B0A" w14:textId="79267327" w:rsidR="0076163F" w:rsidRDefault="0076163F" w:rsidP="0076163F">
      <w:r w:rsidRPr="003E4776">
        <w:t/>
      </w:r>
      <w:r>
        <w:t>BIJLAGE_lit_termen_tweetalig.pdf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schriftelijk is een digitaal examen. Meer uitleg over onze digitale examens, de instructies en voorbeeldvragen vind je op: http://examencommissiesecundaironderwijs.be/examens.</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31 %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t>
        <w:br/>
        <w:t xml:space="preserve"/>
        <w:b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r>
              <w:rPr/>
              <w:t xml:space="preserve"/>
              <w:br/>
              <w:t xml:space="preserve"/>
              <w:br/>
              <w:t xml:space="preserve"> </w:t>
              <w:br/>
              <w:t xml:space="preserve"/>
              <w:br/>
              <w:t xml:space="preserve"> + extra graadboek </w:t>
            </w:r>
            <w:r>
              <w:rPr>
                <w:b/>
              </w:rPr>
              <w:t xml:space="preserve"> C’est parti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 </w:t>
            </w:r>
            <w:r>
              <w:rPr/>
              <w:t xml:space="preserve">(Opgelet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r>
              <w:rPr/>
              <w:t xml:space="preserve"/>
              <w:br/>
              <w:t xml:space="preserve"/>
              <w:br/>
              <w:t xml:space="preserve"> </w:t>
              <w:br/>
              <w:t xml:space="preserve"/>
              <w:br/>
              <w:t xml:space="preserve"/>
            </w:r>
            <w:r>
              <w:rPr>
                <w:b/>
              </w:rPr>
              <w:t xml:space="preserve">+ Nouveau Quartier français 5 Extra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 </w:t>
            </w:r>
            <w:r>
              <w:rPr/>
              <w:t xml:space="preserve">(set van 4 modules D specifieke vorming)                                              </w:t>
              <w:br/>
              <w:t xml:space="preserve"/>
              <w:br/>
              <w:t xml:space="preserve"/>
            </w:r>
            <w:r>
              <w:rPr>
                <w:b/>
              </w:rPr>
              <w:t xml:space="preserve">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w:t>
              <w:br/>
              <w:t xml:space="preserve"/>
              <w:br/>
              <w:t xml:space="preserve">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