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gedragswetenschappen 3 aso</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januari   2018 tot en met 31 december  2018</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Eindtermen</w:t>
      </w:r>
      <w:r w:rsidR="00AF709A">
        <w:t xml:space="preserve"> </w:t>
      </w:r>
      <w:r w:rsidR="0034339E">
        <w:t xml:space="preserve">: </w:t>
      </w:r>
      <w:r>
        <w:t>http://eindtermen.vlaanderen.be/index.htm</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bijlagen heb je nodig?</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Gedragswetenschappen en cultuurwetenschappen zijn de specifieke vakken van de richting humane wetenschappen.</w:t>
        <w:br/>
        <w:t xml:space="preserve"/>
        <w:br/>
        <w:t xml:space="preserve">In de cultuurwetenschappen onderzoek je hoe de mens zich uitdrukt in een samenleving. Je zoekt naar gelijkenissen en verschillen tussen samenlevingen en probeert die te verbinden met grotere maatschappelijke structuren.</w:t>
        <w:br/>
        <w:t xml:space="preserve"/>
        <w:br/>
        <w:t xml:space="preserve">Het doel van de gedragswetenschappen is om het gedrag van mensen te begrijpen. Ze bieden modellen, theorieën en verklaringen aan zodat je kan benoemen en begrijpen waarom personen, groepen of samenlevingen bepaalde dingen doen.</w:t>
      </w:r>
    </w:p>
    <w:p>
      <w:r>
        <w:rPr/>
        <w:t xml:space="preserve"/>
      </w:r>
      <w:r>
        <w:rPr>
          <w:color w:val="00B050"/>
        </w:rPr>
        <w:t/>
      </w:r>
    </w:p>
    <w:p w14:paraId="70391787" w14:textId="3DB223A8" w:rsidR="00047953" w:rsidRDefault="001D02B3" w:rsidP="0082741A">
      <w:r>
        <w:rPr>
          <w:color w:val="00B050"/>
        </w:rPr>
        <w:t/>
      </w:r>
      <w:r>
        <w:t/>
      </w:r>
      <w:r>
        <w:rPr/>
        <w:t xml:space="preserve">Vanuit de psychologie krijg je meer inzicht in theorieën over de mens. In hoeverre bepalen emoties ons gedrag en wat is de functie van emoties? Hoe gedragen we ons en waarom is dat zo? Wat kan er mis lopen en hoe kunnen we gedrag bijsturen? Hier maken we ook kennis met de pedagogiek en de criminologie. Zo krijg je een breed kader om mensen en hun gedrag te begrijpen.</w:t>
        <w:br/>
        <w:t xml:space="preserve"/>
        <w:br/>
        <w:t xml:space="preserve">De sociologie focust zich op groepen en de samenleving. Een mens staat niet op zichzelf en veel van onze gedragingen worden beïnvloed door de mensen om ons heen, vaak meer dan we zelf denken. Dat is soms verhelderend, maar dat kan ook best confronterend zijn.</w:t>
        <w:br/>
        <w:t xml:space="preserve"/>
        <w:br/>
        <w:t xml:space="preserve">De antropologie opent onze blik door te onderzoeken hoe samenlevingen elders georganiseerd zijn. Dit levert boeiende inzichten op. Ze helpen ons om cultuurverschillen te begrijpen en om onze eigen zienswijze te enigszins relativeren. Zo krijg je een breder kader om onze maatschappij te analyseren.</w:t>
        <w:br/>
        <w:t xml:space="preserve"/>
        <w:br/>
        <w:t xml:space="preserve">Je krijgt ook meer inzicht in waarden en normen. Dit is het domein van de ethiek. Wat vinden we belangrijk? Waar komen die waarden en normen vandaan? Wat betekent het voor een samenleving als groepen mensen dezelfde of net verschillende waarden en normen hebben? De actualiteit toont ons hoe relevant deze vragen zijn.</w:t>
      </w:r>
    </w:p>
    <w:p>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Interactie en communicatie</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Denken over mens en samenleving</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Organisatie en wisselwerking</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Expressie</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Onderzoekscompetentie</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In de volgende tabellen vind je wat je voor elke leerinhoud moet kennen en wat je moet kunnen op het examen. In deze vakfiche vind je eerst enkele belangrijke aandachtspunten bij het gebruik van de werkwoorden. Daarna worden alle leerinhouden besproken.</w:t>
      </w:r>
    </w:p>
    <w:p>
      <w:r>
        <w:rPr/>
        <w:t xml:space="preserve">Het is voor elk van deze leerinhouden belangrijk om de actualiteit te volgen. Er worden op het examen immers vaak actuele artikels gebruikt of actuele onderwerpen aangereikt.</w:t>
      </w:r>
    </w:p>
    <w:p>
      <w:r>
        <w:rPr/>
        <w:t xml:space="preserve">Voor elk van deze leerinhouden moet je op het examen aantonen dat je de volgende vaardigheden beheerst:</w:t>
      </w:r>
    </w:p>
    <w:p>
      <w:pPr>
        <w:pStyle w:val="ListParagraph"/>
        <w:numPr>
          <w:ilvl w:val="0"/>
          <w:numId w:val="8"/>
        </w:numPr>
      </w:pPr>
      <w:r>
        <w:rPr/>
        <w:t xml:space="preserve">actuele informatie uit bronnenmateriaal zoals krantenartikelen,  grafieken, beeldmateriaal … gebruiken om leerinhouden te verklaren en te analyseren;</w:t>
      </w:r>
    </w:p>
    <w:p>
      <w:pPr>
        <w:pStyle w:val="ListParagraph"/>
        <w:numPr>
          <w:ilvl w:val="0"/>
          <w:numId w:val="8"/>
        </w:numPr>
      </w:pPr>
      <w:r>
        <w:rPr/>
        <w:t xml:space="preserve">uit een tekst de hoofd- en bijzaken van elkaar kunnen onderscheiden;</w:t>
      </w:r>
    </w:p>
    <w:p>
      <w:pPr>
        <w:pStyle w:val="ListParagraph"/>
        <w:numPr>
          <w:ilvl w:val="0"/>
          <w:numId w:val="8"/>
        </w:numPr>
      </w:pPr>
      <w:r>
        <w:rPr/>
        <w:t xml:space="preserve">feiten en meningen van elkaar kunnen onderscheiden;</w:t>
      </w:r>
    </w:p>
    <w:p>
      <w:pPr>
        <w:pStyle w:val="ListParagraph"/>
        <w:numPr>
          <w:ilvl w:val="0"/>
          <w:numId w:val="8"/>
        </w:numPr>
      </w:pPr>
      <w:r>
        <w:rPr/>
        <w:t xml:space="preserve">de leerinhouden toepassen op de actualiteit.</w:t>
      </w:r>
    </w:p>
    <w:p>
      <w:r>
        <w:rPr/>
        <w:t xml:space="preserve">Als er geschreven bronnen gebruikt worden, zijn dit steeds Nederlandstalige bronnen.</w:t>
      </w:r>
    </w:p>
    <w:p>
      <w:r>
        <w:rPr/>
        <w:t xml:space="preserve">GEBRUIK VAN WERKWOORDEN</w:t>
      </w:r>
    </w:p>
    <w:p>
      <w:r>
        <w:rPr/>
        <w:t xml:space="preserve">In de tabel 'wat moet je kunnen?’ staat heel vaak dat je iets moet </w:t>
      </w:r>
      <w:r>
        <w:rPr>
          <w:b/>
        </w:rPr>
        <w:t xml:space="preserve">benoemen</w:t>
      </w:r>
      <w:r>
        <w:rPr/>
        <w:t xml:space="preserve"> of </w:t>
      </w:r>
      <w:r>
        <w:rPr>
          <w:b/>
        </w:rPr>
        <w:t xml:space="preserve">beschrijven.</w:t>
      </w:r>
      <w:r>
        <w:rPr/>
        <w:t xml:space="preserve"> Benoemen wordt gebruikt bij een begrip. Beschrijven wordt gebruikt bij een proces, evolutie of situatie. Beide woorden betekenen dat je in staat moet zijn om de inhoud in je eigen woorden uit te leggen. Het komt er niet op aan om exacte definities van bepaalde begrippen te geven, maar wel de begrippen juist te kunnen uitleggen in een bepaalde context. Alleen waar 'deze begrippen definiëren’ staat, moet je een letterlijke definitie kunnen geven. We verwachten dat je alle begrippen uit de vakfiche steeds correct toepast, ook als de vraag niet expliciet is om een begrip te benoemen.</w:t>
      </w:r>
    </w:p>
    <w:p>
      <w:r>
        <w:rPr/>
        <w:t xml:space="preserve">Soms wordt het werkwoord </w:t>
      </w:r>
      <w:r>
        <w:rPr>
          <w:b/>
        </w:rPr>
        <w:t xml:space="preserve">vergelijken</w:t>
      </w:r>
      <w:r>
        <w:rPr/>
        <w:t xml:space="preserve"> gebruikt. Als je twee begrippen of ideeën moet vergelijken met elkaar, moet je voor jezelf eerst de begrippen of ideeën goed formuleren en dan op zoek gaan naar overeenkomsten en verschillen. </w:t>
      </w:r>
      <w:r>
        <w:rPr>
          <w:b/>
        </w:rPr>
        <w:t xml:space="preserve">Verklaren</w:t>
      </w:r>
      <w:r>
        <w:rPr/>
        <w:t xml:space="preserve"> betekent dan weer dat je moet kunnen uitleggen waarom iets op die manier geëvolueerd is. Als we '</w:t>
      </w:r>
      <w:r>
        <w:rPr>
          <w:b/>
        </w:rPr>
        <w:t xml:space="preserve">illustreren'</w:t>
      </w:r>
      <w:r>
        <w:rPr/>
        <w:t xml:space="preserve"> vermelden, dan moet je in staat zijn om concrete voorbeelden te geven van een leerinhoud. Soms helpen we je op weg door tussen haakjes 'bijvoorbeeld’ te vermelden. Deze opsomming is niet volledig: er kunnen dus andere voorbeelden gevraagd worden op het examen. Wanneer er geen 'bijvoorbeeld’ staat, is de opsomming volledig.</w:t>
      </w:r>
    </w:p>
    <w:p>
      <w:r>
        <w:rPr>
          <w:b/>
        </w:rPr>
        <w:t xml:space="preserve">Toepassen</w:t>
      </w:r>
      <w:r>
        <w:rPr/>
        <w:t xml:space="preserve"> komt ook heel vaak voor in deze vakfiche. Het betekent dat je de theorie moet kunnen verbinden aan voorbeelden. Je zal de volgende soort vragen krijgen: je krijgt een tekst of afbeelding en er wordt aan jou gevraagd van welke theorie of begrip dit een toepassing is. Je zal tegelijk ook moeten verantwoorden waarom je voor die theorie of dat begrip kiest. Je kan dit zelf inoefenen door de voorbeelden in de leermiddelen te gebruiken. Je kan dit ook inoefenen door bijvoorbeeld een krant of tijdschrift te lezen en je af te vragen welke leerinhouden je kan toepassen op wat je net gelezen hebt.</w:t>
      </w:r>
    </w:p>
    <w:p>
      <w:r>
        <w:rPr/>
        <w:t xml:space="preserve">Wanneer het werkwoord </w:t>
      </w:r>
      <w:r>
        <w:rPr>
          <w:b/>
        </w:rPr>
        <w:t xml:space="preserve">analyseren</w:t>
      </w:r>
      <w:r>
        <w:rPr/>
        <w:t xml:space="preserve"> voorkomt, dan vragen we dat je deze inhoud zeer grondig beheerst. Vaak zal je aan de hand van teksten of afbeeldingen moeten bewijzen dat je de inhoud goed begrijpt, dat je de relatie legt met theorieën en dat je over die inhoud kan reflecteren. Dat betekent dat je bijvoorbeeld in staat moet zijn om de gevolgen van iets in te schatten, of de voor- en nadelen te bepalen. Je zal ook in staat moeten zijn om een probleem kritisch te bekijken en standpunten van voor- en tegenstanders vast te stellen.</w:t>
      </w:r>
    </w:p>
    <w:p>
      <w:r>
        <w:rPr/>
        <w:t xml:space="preserve">Bij het </w:t>
      </w:r>
      <w:r>
        <w:rPr>
          <w:b/>
        </w:rPr>
        <w:t xml:space="preserve">beoordelen</w:t>
      </w:r>
      <w:r>
        <w:rPr/>
        <w:t xml:space="preserve"> verwachten we dat je je eigen standpunt bepaalt. Dat kan bijvoorbeeld een standpunt zijn over de voor- en nadelen van een theorie of een actueel probleem. Hier komt het erop aan om na een grondige analyse je standpunt te formuleren met duidelijke argumenten.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Interactie en communicatie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1 Begrippen en classificatie</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1.1 Begrippen</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p>
          <w:p>
            <w:pPr>
              <w:pStyle w:val="ListParagraph"/>
              <w:numPr>
                <w:ilvl w:val="0"/>
                <w:numId w:val="9"/>
              </w:numPr>
            </w:pPr>
            <w:r>
              <w:rPr/>
              <w:t xml:space="preserve">communicatie</w:t>
            </w:r>
          </w:p>
          <w:p>
            <w:pPr>
              <w:pStyle w:val="ListParagraph"/>
              <w:numPr>
                <w:ilvl w:val="0"/>
                <w:numId w:val="9"/>
              </w:numPr>
            </w:pPr>
            <w:r>
              <w:rPr/>
              <w:t xml:space="preserve">interactie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vergelijken, illustreren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axioma’s van Watzlawick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5 axioma’s benoemen, illustreren en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1.2 Indeling in interactievormen op basis van de betrokken partijen</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p>
          <w:p>
            <w:pPr>
              <w:pStyle w:val="ListParagraph"/>
              <w:numPr>
                <w:ilvl w:val="0"/>
                <w:numId w:val="10"/>
              </w:numPr>
            </w:pPr>
            <w:r>
              <w:rPr/>
              <w:t xml:space="preserve">intrapersoonlijke interactie</w:t>
            </w:r>
          </w:p>
          <w:p>
            <w:pPr>
              <w:pStyle w:val="ListParagraph"/>
              <w:numPr>
                <w:ilvl w:val="0"/>
                <w:numId w:val="10"/>
              </w:numPr>
            </w:pPr>
            <w:r>
              <w:rPr/>
              <w:t xml:space="preserve">interpersoonlijke interactie</w:t>
            </w:r>
          </w:p>
          <w:p>
            <w:pPr>
              <w:pStyle w:val="ListParagraph"/>
              <w:numPr>
                <w:ilvl w:val="0"/>
                <w:numId w:val="10"/>
              </w:numPr>
            </w:pPr>
            <w:r>
              <w:rPr/>
              <w:t xml:space="preserve">intragroepsinteractie</w:t>
            </w:r>
          </w:p>
          <w:p>
            <w:pPr>
              <w:pStyle w:val="ListParagraph"/>
              <w:numPr>
                <w:ilvl w:val="0"/>
                <w:numId w:val="10"/>
              </w:numPr>
            </w:pPr>
            <w:r>
              <w:rPr/>
              <w:t xml:space="preserve">intergroepsinteractie</w:t>
            </w:r>
          </w:p>
          <w:p>
            <w:pPr>
              <w:pStyle w:val="ListParagraph"/>
              <w:numPr>
                <w:ilvl w:val="0"/>
                <w:numId w:val="10"/>
              </w:numPr>
            </w:pPr>
            <w:r>
              <w:rPr/>
              <w:t xml:space="preserve">mengvorm</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vormen van interactie benoemen, illustreren en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2 Intrapersoonlijke interactie</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2.1 Intrapersoonlijke conflicten</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In dit onderdeel worden een aantal situaties opgesomd waarbij je in interactie gaat met jezelf. Je moet deze processen kunnen beschrijven, herkennen in voorbeelden en zelf voorbeelden geven.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motivationele conflicten: </w:t>
            </w:r>
          </w:p>
          <w:p>
            <w:pPr>
              <w:pStyle w:val="ListParagraph"/>
              <w:numPr>
                <w:ilvl w:val="0"/>
                <w:numId w:val="11"/>
              </w:numPr>
            </w:pPr>
            <w:r>
              <w:rPr/>
              <w:t xml:space="preserve">vermijdingsgedrag: actief en passief</w:t>
            </w:r>
          </w:p>
          <w:p>
            <w:pPr>
              <w:pStyle w:val="ListParagraph"/>
              <w:numPr>
                <w:ilvl w:val="0"/>
                <w:numId w:val="11"/>
              </w:numPr>
            </w:pPr>
            <w:r>
              <w:rPr/>
              <w:t xml:space="preserve">toenaderingsgedrag: nastreven en behouden</w:t>
            </w:r>
          </w:p>
          <w:p>
            <w:pPr>
              <w:pStyle w:val="ListParagraph"/>
              <w:numPr>
                <w:ilvl w:val="0"/>
                <w:numId w:val="11"/>
              </w:numPr>
            </w:pPr>
            <w:r>
              <w:rPr/>
              <w:t xml:space="preserve">negatieve gevolgen: stress, frustratie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benoemen, beschrijven, illustreren en toepassen</w:t>
              <w:br/>
              <w:t xml:space="preserve"/>
              <w:br/>
              <w:t xml:space="preserve">deze gevolgen beschrijven en illustreren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cognitieve dissonantie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cognitieve dissonantie beschrijven, illustreren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attributie: causale attributietheorie:</w:t>
            </w:r>
          </w:p>
          <w:p>
            <w:pPr>
              <w:pStyle w:val="ListParagraph"/>
              <w:numPr>
                <w:ilvl w:val="0"/>
                <w:numId w:val="12"/>
              </w:numPr>
            </w:pPr>
            <w:r>
              <w:rPr/>
              <w:t xml:space="preserve">interne en externe attributie</w:t>
            </w:r>
          </w:p>
          <w:p>
            <w:pPr>
              <w:pStyle w:val="ListParagraph"/>
              <w:numPr>
                <w:ilvl w:val="0"/>
                <w:numId w:val="12"/>
              </w:numPr>
            </w:pPr>
            <w:r>
              <w:rPr/>
              <w:t xml:space="preserve">stabiele en instabiele attributie</w:t>
            </w:r>
          </w:p>
          <w:p>
            <w:pPr>
              <w:pStyle w:val="ListParagraph"/>
              <w:numPr>
                <w:ilvl w:val="0"/>
                <w:numId w:val="12"/>
              </w:numPr>
            </w:pPr>
            <w:r>
              <w:rPr/>
              <w:t xml:space="preserve">controleerbare en oncontroleerbare attributie</w:t>
            </w:r>
          </w:p>
          <w:p>
            <w:pPr>
              <w:pStyle w:val="ListParagraph"/>
              <w:numPr>
                <w:ilvl w:val="0"/>
                <w:numId w:val="12"/>
              </w:numPr>
            </w:pPr>
            <w:r>
              <w:rPr/>
              <w:t xml:space="preserve">specifieke en globale attributie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kenmerken vergelijken, illustreren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attributie: attributiefouten:</w:t>
            </w:r>
          </w:p>
          <w:p>
            <w:pPr>
              <w:pStyle w:val="ListParagraph"/>
              <w:numPr>
                <w:ilvl w:val="0"/>
                <w:numId w:val="13"/>
              </w:numPr>
            </w:pPr>
            <w:r>
              <w:rPr/>
              <w:t xml:space="preserve">fundamentele attributiefout</w:t>
            </w:r>
          </w:p>
          <w:p>
            <w:pPr>
              <w:pStyle w:val="ListParagraph"/>
              <w:numPr>
                <w:ilvl w:val="0"/>
                <w:numId w:val="13"/>
              </w:numPr>
            </w:pPr>
            <w:r>
              <w:rPr/>
              <w:t xml:space="preserve">zelfhandicapping</w:t>
            </w:r>
          </w:p>
          <w:p>
            <w:pPr>
              <w:pStyle w:val="ListParagraph"/>
              <w:numPr>
                <w:ilvl w:val="0"/>
                <w:numId w:val="13"/>
              </w:numPr>
            </w:pPr>
            <w:r>
              <w:rPr/>
              <w:t xml:space="preserve">self-serving bias      </w:t>
            </w:r>
          </w:p>
          <w:p>
            <w:pPr>
              <w:pStyle w:val="ListParagraph"/>
              <w:numPr>
                <w:ilvl w:val="0"/>
                <w:numId w:val="13"/>
              </w:numPr>
            </w:pPr>
            <w:r>
              <w:rPr/>
              <w:t xml:space="preserve">defensieve attributie</w:t>
            </w:r>
          </w:p>
          <w:p>
            <w:pPr>
              <w:pStyle w:val="ListParagraph"/>
              <w:numPr>
                <w:ilvl w:val="0"/>
                <w:numId w:val="13"/>
              </w:numPr>
            </w:pPr>
            <w:r>
              <w:rPr/>
              <w:t xml:space="preserve">stereotypering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attributiefouten beschrijven, vergelijken, illustreren en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3 Interpersoonlijke interactie</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Hier zie je hoe personen met elkaar in interactie kunnen gaan. Aan de hand van modellen moet je analyseren welke invloed personen op elkaar hebben.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vormen van interpersoonlijke interactie:</w:t>
              <w:br/>
              <w:t xml:space="preserve"/>
              <w:br/>
              <w:t xml:space="preserve">ruil, conflict, conformiteit, machtsuitoefening, samenwerking, competitie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vormen van interpersoonlijke interactie beschrijven, vergelijken, illustreren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rolconflicten:</w:t>
            </w:r>
          </w:p>
          <w:p>
            <w:pPr>
              <w:pStyle w:val="ListParagraph"/>
              <w:numPr>
                <w:ilvl w:val="0"/>
                <w:numId w:val="14"/>
              </w:numPr>
            </w:pPr>
            <w:r>
              <w:rPr/>
              <w:t xml:space="preserve">rolpatroon</w:t>
            </w:r>
          </w:p>
          <w:p>
            <w:pPr>
              <w:pStyle w:val="ListParagraph"/>
              <w:numPr>
                <w:ilvl w:val="0"/>
                <w:numId w:val="14"/>
              </w:numPr>
            </w:pPr>
            <w:r>
              <w:rPr/>
              <w:t xml:space="preserve">intern en extern rolconflict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benoemen, beschrijven, illustreren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modellen voor interpersoonlijke interactie:</w:t>
            </w:r>
          </w:p>
          <w:p>
            <w:pPr>
              <w:pStyle w:val="ListParagraph"/>
              <w:numPr>
                <w:ilvl w:val="0"/>
                <w:numId w:val="15"/>
              </w:numPr>
            </w:pPr>
            <w:r>
              <w:rPr/>
              <w:t xml:space="preserve">roos van Leary: opbouw, rollen</w:t>
            </w:r>
          </w:p>
          <w:p>
            <w:pPr>
              <w:pStyle w:val="ListParagraph"/>
              <w:numPr>
                <w:ilvl w:val="0"/>
                <w:numId w:val="15"/>
              </w:numPr>
            </w:pPr>
            <w:r>
              <w:rPr/>
              <w:t xml:space="preserve">axenroos: opbouw, rollen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modellen beschrijven en toepassen</w:t>
              <w:br/>
              <w:t xml:space="preserve"/>
              <w:br/>
              <w:t xml:space="preserve">de rollen uit deze modellen beschrijven, vergelijken, illustreren en toepassen</w:t>
              <w:br/>
              <w:t xml:space="preserve"/>
              <w:br/>
              <w:t xml:space="preserve">de invloed van deze rollen op het gedrag van andere personen beschrijven,  vergelijken, verklaren, illustreren en analyseren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4 Mechanismen die interactie en communicatie beïnvloeden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Een aantal mechanismen beïnvloeden de interactie tussen personen en tussen groepen. Je moet deze mechanismen beschrijven en toepassen.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p>
          <w:p>
            <w:pPr>
              <w:pStyle w:val="ListParagraph"/>
              <w:numPr>
                <w:ilvl w:val="0"/>
                <w:numId w:val="16"/>
              </w:numPr>
            </w:pPr>
            <w:r>
              <w:rPr/>
              <w:t xml:space="preserve">rolpatronen, conformiteit, deviantie</w:t>
            </w:r>
          </w:p>
          <w:p>
            <w:pPr>
              <w:pStyle w:val="ListParagraph"/>
              <w:numPr>
                <w:ilvl w:val="0"/>
                <w:numId w:val="16"/>
              </w:numPr>
            </w:pPr>
            <w:r>
              <w:rPr/>
              <w:t xml:space="preserve">stereotypen , vooroordelen</w:t>
            </w:r>
          </w:p>
          <w:p>
            <w:pPr>
              <w:pStyle w:val="ListParagraph"/>
              <w:numPr>
                <w:ilvl w:val="0"/>
                <w:numId w:val="16"/>
              </w:numPr>
            </w:pPr>
            <w:r>
              <w:rPr/>
              <w:t xml:space="preserve">frustratie, angst</w:t>
            </w:r>
          </w:p>
          <w:p>
            <w:pPr>
              <w:pStyle w:val="ListParagraph"/>
              <w:numPr>
                <w:ilvl w:val="0"/>
                <w:numId w:val="16"/>
              </w:numPr>
            </w:pPr>
            <w:r>
              <w:rPr/>
              <w:t xml:space="preserve">etnocentrisme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mechanismen beschrijven, vergelijken, illustreren en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5 Conflicten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Je analyseert conflicten op basis van deze kenmerken.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5.1 Oorzaak en aanleiding</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oorzaak en aanleiding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oorzaak en aanleiding van een conflict benoemen, vergelijken, illustreren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vormen van conflict naargelang de oorzaak:</w:t>
            </w:r>
          </w:p>
          <w:p>
            <w:pPr>
              <w:pStyle w:val="ListParagraph"/>
              <w:numPr>
                <w:ilvl w:val="0"/>
                <w:numId w:val="17"/>
              </w:numPr>
            </w:pPr>
            <w:r>
              <w:rPr/>
              <w:t xml:space="preserve">belangenconflict</w:t>
            </w:r>
          </w:p>
          <w:p>
            <w:pPr>
              <w:pStyle w:val="ListParagraph"/>
              <w:numPr>
                <w:ilvl w:val="0"/>
                <w:numId w:val="17"/>
              </w:numPr>
            </w:pPr>
            <w:r>
              <w:rPr/>
              <w:t xml:space="preserve">waardenconflict</w:t>
            </w:r>
          </w:p>
          <w:p>
            <w:pPr>
              <w:pStyle w:val="ListParagraph"/>
              <w:numPr>
                <w:ilvl w:val="0"/>
                <w:numId w:val="17"/>
              </w:numPr>
            </w:pPr>
            <w:r>
              <w:rPr/>
              <w:t xml:space="preserve">machtsconflict </w:t>
            </w:r>
          </w:p>
          <w:p>
            <w:pPr>
              <w:pStyle w:val="ListParagraph"/>
              <w:numPr>
                <w:ilvl w:val="0"/>
                <w:numId w:val="17"/>
              </w:numPr>
            </w:pPr>
            <w:r>
              <w:rPr/>
              <w:t xml:space="preserve">generatieconflict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vormen vergelijken, illustreren en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5.2 Escalatiefasen</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escalatieladder van Glasl:</w:t>
            </w:r>
          </w:p>
          <w:p>
            <w:pPr>
              <w:pStyle w:val="ListParagraph"/>
              <w:numPr>
                <w:ilvl w:val="0"/>
                <w:numId w:val="18"/>
              </w:numPr>
            </w:pPr>
            <w:r>
              <w:rPr/>
              <w:t xml:space="preserve">3 fasen</w:t>
            </w:r>
          </w:p>
          <w:p>
            <w:pPr>
              <w:pStyle w:val="ListParagraph"/>
              <w:numPr>
                <w:ilvl w:val="0"/>
                <w:numId w:val="18"/>
              </w:numPr>
            </w:pPr>
            <w:r>
              <w:rPr/>
              <w:t xml:space="preserve">9 stappen</w:t>
            </w:r>
          </w:p>
          <w:p>
            <w:pPr>
              <w:pStyle w:val="ListParagraph"/>
              <w:numPr>
                <w:ilvl w:val="0"/>
                <w:numId w:val="18"/>
              </w:numPr>
            </w:pPr>
            <w:r>
              <w:rPr/>
              <w:t xml:space="preserve">bemiddeling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fasen beschrijven, vergelijken, illustreren en toepassen</w:t>
              <w:br/>
              <w:t xml:space="preserve"/>
              <w:br/>
              <w:t xml:space="preserve">deze stappen beschrijven, vergelijken, illustreren en toepassen</w:t>
              <w:br/>
              <w:t xml:space="preserve"/>
              <w:br/>
              <w:t xml:space="preserve">benoemen wie er in welke fase kan bemiddelen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5.3 Conflicthanteringsstijlen</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model van Thomas en Kilman:</w:t>
            </w:r>
          </w:p>
          <w:p>
            <w:pPr>
              <w:pStyle w:val="ListParagraph"/>
              <w:numPr>
                <w:ilvl w:val="0"/>
                <w:numId w:val="19"/>
              </w:numPr>
            </w:pPr>
            <w:r>
              <w:rPr/>
              <w:t xml:space="preserve">doordrukken / concurreren / haai</w:t>
            </w:r>
          </w:p>
          <w:p>
            <w:pPr>
              <w:pStyle w:val="ListParagraph"/>
              <w:numPr>
                <w:ilvl w:val="0"/>
                <w:numId w:val="19"/>
              </w:numPr>
            </w:pPr>
            <w:r>
              <w:rPr/>
              <w:t xml:space="preserve">samenwerken / uil</w:t>
            </w:r>
          </w:p>
          <w:p>
            <w:pPr>
              <w:pStyle w:val="ListParagraph"/>
              <w:numPr>
                <w:ilvl w:val="0"/>
                <w:numId w:val="19"/>
              </w:numPr>
            </w:pPr>
            <w:r>
              <w:rPr/>
              <w:t xml:space="preserve">compromis sluiten / kwal</w:t>
            </w:r>
          </w:p>
          <w:p>
            <w:pPr>
              <w:pStyle w:val="ListParagraph"/>
              <w:numPr>
                <w:ilvl w:val="0"/>
                <w:numId w:val="19"/>
              </w:numPr>
            </w:pPr>
            <w:r>
              <w:rPr/>
              <w:t xml:space="preserve">vermijden / schildpad</w:t>
            </w:r>
          </w:p>
          <w:p>
            <w:pPr>
              <w:pStyle w:val="ListParagraph"/>
              <w:numPr>
                <w:ilvl w:val="0"/>
                <w:numId w:val="19"/>
              </w:numPr>
            </w:pPr>
            <w:r>
              <w:rPr/>
              <w:t xml:space="preserve">toegeven / aanpassen / teddybeer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model beschrijven</w:t>
              <w:br/>
              <w:t xml:space="preserve"/>
              <w:br/>
              <w:t xml:space="preserve">deze conflicthanteringsstijlen beschrijven, vergelijken, illustreren en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5.4 Agressie en geweld</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soorten geweld: </w:t>
            </w:r>
          </w:p>
          <w:p>
            <w:pPr>
              <w:pStyle w:val="ListParagraph"/>
              <w:numPr>
                <w:ilvl w:val="0"/>
                <w:numId w:val="20"/>
              </w:numPr>
            </w:pPr>
            <w:r>
              <w:rPr/>
              <w:t xml:space="preserve">fysiek geweld</w:t>
            </w:r>
          </w:p>
          <w:p>
            <w:pPr>
              <w:pStyle w:val="ListParagraph"/>
              <w:numPr>
                <w:ilvl w:val="0"/>
                <w:numId w:val="20"/>
              </w:numPr>
            </w:pPr>
            <w:r>
              <w:rPr/>
              <w:t xml:space="preserve">psychisch geweld</w:t>
            </w:r>
          </w:p>
          <w:p>
            <w:pPr>
              <w:pStyle w:val="ListParagraph"/>
              <w:numPr>
                <w:ilvl w:val="0"/>
                <w:numId w:val="20"/>
              </w:numPr>
            </w:pPr>
            <w:r>
              <w:rPr/>
              <w:t xml:space="preserve">structureel geweld</w:t>
            </w:r>
          </w:p>
          <w:p>
            <w:pPr>
              <w:pStyle w:val="ListParagraph"/>
              <w:numPr>
                <w:ilvl w:val="0"/>
                <w:numId w:val="20"/>
              </w:numPr>
            </w:pPr>
            <w:r>
              <w:rPr/>
              <w:t xml:space="preserve">cultureel geweld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soorten geweld beschrijven, vergelijken, illustreren en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5.5 Einde van een conflict</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vonnis (ook wel: scheidsrechter of directieve oplossing)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manier beschrijven, vergelijken, illustreren en toepassen</w:t>
              <w:br/>
              <w:t xml:space="preserve"/>
              <w:br/>
              <w:t xml:space="preserve">benoemen welke manieren om een conflict te beëindigen er mogelijk zijn in de verschillende fasen van de escalatieladder van Glasl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bemiddeling (ook wel: participatieve oplossing):</w:t>
            </w:r>
          </w:p>
          <w:p>
            <w:pPr>
              <w:pStyle w:val="ListParagraph"/>
              <w:numPr>
                <w:ilvl w:val="0"/>
                <w:numId w:val="21"/>
              </w:numPr>
            </w:pPr>
            <w:r>
              <w:rPr/>
              <w:t xml:space="preserve">consensus</w:t>
            </w:r>
          </w:p>
          <w:p>
            <w:pPr>
              <w:pStyle w:val="ListParagraph"/>
              <w:numPr>
                <w:ilvl w:val="0"/>
                <w:numId w:val="21"/>
              </w:numPr>
            </w:pPr>
            <w:r>
              <w:rPr/>
              <w:t xml:space="preserve"> compromis</w:t>
            </w:r>
          </w:p>
          <w:p>
            <w:pPr>
              <w:pStyle w:val="ListParagraph"/>
              <w:numPr>
                <w:ilvl w:val="0"/>
                <w:numId w:val="21"/>
              </w:numPr>
            </w:pPr>
            <w:r>
              <w:rPr/>
              <w:t xml:space="preserve"> stemmen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manieren beschrijven, vergelijken, illustreren en toepassen</w:t>
              <w:br/>
              <w:t xml:space="preserve"/>
              <w:br/>
              <w:t xml:space="preserve">benoemen welke manieren mogelijk zijn in de verschillende fasen van de escalatieladder van Glasl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zelf oplossen:</w:t>
            </w:r>
          </w:p>
          <w:p>
            <w:pPr>
              <w:pStyle w:val="ListParagraph"/>
              <w:numPr>
                <w:ilvl w:val="0"/>
                <w:numId w:val="22"/>
              </w:numPr>
            </w:pPr>
            <w:r>
              <w:rPr/>
              <w:t xml:space="preserve">consensus</w:t>
            </w:r>
          </w:p>
          <w:p>
            <w:pPr>
              <w:pStyle w:val="ListParagraph"/>
              <w:numPr>
                <w:ilvl w:val="0"/>
                <w:numId w:val="22"/>
              </w:numPr>
            </w:pPr>
            <w:r>
              <w:rPr/>
              <w:t xml:space="preserve">compromis</w:t>
            </w:r>
          </w:p>
          <w:p>
            <w:pPr>
              <w:pStyle w:val="ListParagraph"/>
              <w:numPr>
                <w:ilvl w:val="0"/>
                <w:numId w:val="22"/>
              </w:numPr>
            </w:pPr>
            <w:r>
              <w:rPr/>
              <w:t xml:space="preserve">stemmen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manieren beschrijven, vergelijken, illustreren en toepassen</w:t>
              <w:br/>
              <w:t xml:space="preserve"/>
              <w:br/>
              <w:t xml:space="preserve">benoemen welke manieren mogelijk zijn in de verschillende fasen van de escalatieladder van Glasl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minder constructieve vormen om een conflict te beëindigen:</w:t>
            </w:r>
          </w:p>
          <w:p>
            <w:pPr>
              <w:pStyle w:val="ListParagraph"/>
              <w:numPr>
                <w:ilvl w:val="0"/>
                <w:numId w:val="23"/>
              </w:numPr>
            </w:pPr>
            <w:r>
              <w:rPr/>
              <w:t xml:space="preserve">onderdrukking</w:t>
            </w:r>
          </w:p>
          <w:p>
            <w:pPr>
              <w:pStyle w:val="ListParagraph"/>
              <w:numPr>
                <w:ilvl w:val="0"/>
                <w:numId w:val="23"/>
              </w:numPr>
            </w:pPr>
            <w:r>
              <w:rPr/>
              <w:t xml:space="preserve"> onafhankelijkheid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manieren beschrijven, vergelijken, illustreren en toepassen</w:t>
              <w:br/>
              <w:t xml:space="preserve"/>
              <w:br/>
              <w:t xml:space="preserve">benoemen welke manieren mogelijk zijn in de verschillende fasen van de escalatieladder van Glasl</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Denken over mens en samenleving</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1 Begrippen en classificatie</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p>
          <w:p>
            <w:pPr>
              <w:pStyle w:val="ListParagraph"/>
              <w:numPr>
                <w:ilvl w:val="0"/>
                <w:numId w:val="24"/>
              </w:numPr>
            </w:pPr>
            <w:r>
              <w:rPr/>
              <w:t xml:space="preserve">persoonlijkheid</w:t>
            </w:r>
          </w:p>
          <w:p>
            <w:pPr>
              <w:pStyle w:val="ListParagraph"/>
              <w:numPr>
                <w:ilvl w:val="0"/>
                <w:numId w:val="24"/>
              </w:numPr>
            </w:pPr>
            <w:r>
              <w:rPr/>
              <w:t xml:space="preserve">temperament</w:t>
            </w:r>
          </w:p>
          <w:p>
            <w:pPr>
              <w:pStyle w:val="ListParagraph"/>
              <w:numPr>
                <w:ilvl w:val="0"/>
                <w:numId w:val="24"/>
              </w:numPr>
            </w:pPr>
            <w:r>
              <w:rPr/>
              <w:t xml:space="preserve">identiteit</w:t>
            </w:r>
          </w:p>
          <w:p>
            <w:pPr>
              <w:pStyle w:val="ListParagraph"/>
              <w:numPr>
                <w:ilvl w:val="0"/>
                <w:numId w:val="24"/>
              </w:numPr>
            </w:pPr>
            <w:r>
              <w:rPr/>
              <w:t xml:space="preserve">karakter</w:t>
            </w:r>
          </w:p>
          <w:p>
            <w:pPr>
              <w:pStyle w:val="ListParagraph"/>
              <w:numPr>
                <w:ilvl w:val="0"/>
                <w:numId w:val="24"/>
              </w:numPr>
            </w:pPr>
            <w:r>
              <w:rPr/>
              <w:t xml:space="preserve">constitutie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vergelijken, illustreren en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2 Denken over persoonlijkheid</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In dit onderdeel zie je heel wat theorieën over het ontstaan van persoonlijkheid, over mogelijke problemen met je persoonlijkheid en over hoe je dat kan bijsturen. Die theorieën moet je kunnen beschrijven, toepassen en vergelijken. Je moet ook kunnen toelichten wat het zelfbeeld is en hoe het ontstaat.</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2.1 Het nature-nurturedebat</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p>
          <w:p>
            <w:pPr>
              <w:pStyle w:val="ListParagraph"/>
              <w:numPr>
                <w:ilvl w:val="0"/>
                <w:numId w:val="25"/>
              </w:numPr>
            </w:pPr>
            <w:r>
              <w:rPr/>
              <w:t xml:space="preserve">nature / nativisme tegenover nurture / empirisme</w:t>
            </w:r>
          </w:p>
          <w:p>
            <w:pPr>
              <w:pStyle w:val="ListParagraph"/>
              <w:numPr>
                <w:ilvl w:val="0"/>
                <w:numId w:val="25"/>
              </w:numPr>
            </w:pPr>
            <w:r>
              <w:rPr/>
              <w:t xml:space="preserve">pedagogisch optimisme en pedagogisch pessimisme</w:t>
            </w:r>
          </w:p>
          <w:p>
            <w:pPr>
              <w:pStyle w:val="ListParagraph"/>
              <w:numPr>
                <w:ilvl w:val="0"/>
                <w:numId w:val="25"/>
              </w:numPr>
            </w:pPr>
            <w:r>
              <w:rPr/>
              <w:t xml:space="preserve">maatschappelijke gevolgen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twee posities in dit debat beschrijven, vergelijken, illustreren en toepassen</w:t>
              <w:br/>
              <w:t xml:space="preserve"/>
              <w:br/>
              <w:t xml:space="preserve">deze visies op pedagogie beschrijven, vergelijken, illustreren en toepassen</w:t>
              <w:br/>
              <w:t xml:space="preserve"/>
              <w:br/>
              <w:t xml:space="preserve">de maatschappelijke gevolgen van beide visies beoordelen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2.2 Persoonlijkheidstheorieën</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Trekkentheorie: de Big Five:</w:t>
            </w:r>
          </w:p>
          <w:p>
            <w:pPr>
              <w:pStyle w:val="ListParagraph"/>
              <w:numPr>
                <w:ilvl w:val="0"/>
                <w:numId w:val="26"/>
              </w:numPr>
            </w:pPr>
            <w:r>
              <w:rPr/>
              <w:t xml:space="preserve">5 dimensies</w:t>
            </w:r>
          </w:p>
          <w:p>
            <w:pPr>
              <w:pStyle w:val="ListParagraph"/>
              <w:numPr>
                <w:ilvl w:val="0"/>
                <w:numId w:val="26"/>
              </w:numPr>
            </w:pPr>
            <w:r>
              <w:rPr/>
              <w:t xml:space="preserve">toepassing in het dagelijks leven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dimensies beschrijven, illustreren en toepassen</w:t>
              <w:br/>
              <w:t xml:space="preserve"/>
              <w:br/>
              <w:t xml:space="preserve">de toepassing beschrijven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psychoanalyse volgens Freud:</w:t>
            </w:r>
          </w:p>
          <w:p>
            <w:pPr>
              <w:pStyle w:val="ListParagraph"/>
              <w:numPr>
                <w:ilvl w:val="0"/>
                <w:numId w:val="27"/>
              </w:numPr>
            </w:pPr>
            <w:r>
              <w:rPr/>
              <w:t xml:space="preserve">3 componenten van de persoonlijkheid: Es, Ich, Über-ich</w:t>
            </w:r>
          </w:p>
          <w:p>
            <w:pPr>
              <w:pStyle w:val="ListParagraph"/>
              <w:numPr>
                <w:ilvl w:val="0"/>
                <w:numId w:val="27"/>
              </w:numPr>
            </w:pPr>
            <w:r>
              <w:rPr/>
              <w:t xml:space="preserve">3 bewustzijnsniveaus</w:t>
            </w:r>
          </w:p>
          <w:p>
            <w:pPr>
              <w:pStyle w:val="ListParagraph"/>
              <w:numPr>
                <w:ilvl w:val="0"/>
                <w:numId w:val="27"/>
              </w:numPr>
            </w:pPr>
            <w:r>
              <w:rPr/>
              <w:t xml:space="preserve">psychoseksuele ontwikkeling: 5 fasen</w:t>
            </w:r>
          </w:p>
          <w:p>
            <w:pPr>
              <w:pStyle w:val="ListParagraph"/>
              <w:numPr>
                <w:ilvl w:val="0"/>
                <w:numId w:val="27"/>
              </w:numPr>
            </w:pPr>
            <w:r>
              <w:rPr/>
              <w:t xml:space="preserve">afweermechanismen: verdringing, projectie, sublimering, compensatie, verschuiving</w:t>
            </w:r>
          </w:p>
          <w:p>
            <w:pPr>
              <w:pStyle w:val="ListParagraph"/>
              <w:numPr>
                <w:ilvl w:val="0"/>
                <w:numId w:val="27"/>
              </w:numPr>
            </w:pPr>
            <w:r>
              <w:rPr/>
              <w:t xml:space="preserve">psychoanalytische therapie: catharsis, analyse van dromen, foutieve handelingen en vrije associatie</w:t>
            </w:r>
          </w:p>
          <w:p>
            <w:pPr>
              <w:pStyle w:val="ListParagraph"/>
              <w:numPr>
                <w:ilvl w:val="0"/>
                <w:numId w:val="27"/>
              </w:numPr>
            </w:pPr>
            <w:r>
              <w:rPr/>
              <w:t xml:space="preserve">kritiek op de theorie van Freud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aspecten beschrijven, illustreren, toepassen, analyseren en beoordelen</w:t>
              <w:br/>
              <w:t xml:space="preserve"/>
              <w:br/>
              <w:t xml:space="preserve"/>
              <w:br/>
              <w:t xml:space="preserve"/>
              <w:br/>
              <w:t xml:space="preserve"/>
              <w:br/>
              <w:t xml:space="preserve"/>
              <w:br/>
              <w:t xml:space="preserve"/>
              <w:br/>
              <w:t xml:space="preserve"/>
              <w:br/>
              <w:t xml:space="preserve"/>
              <w:br/>
              <w:t xml:space="preserve">de werking van de psychoanalytische therapie beschrijven en illustreren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gedragspsychologie: klassieke conditionering:</w:t>
            </w:r>
          </w:p>
          <w:p>
            <w:pPr>
              <w:pStyle w:val="ListParagraph"/>
              <w:numPr>
                <w:ilvl w:val="0"/>
                <w:numId w:val="28"/>
              </w:numPr>
            </w:pPr>
            <w:r>
              <w:rPr/>
              <w:t xml:space="preserve">experiment van Pavlov</w:t>
            </w:r>
          </w:p>
          <w:p>
            <w:pPr>
              <w:pStyle w:val="ListParagraph"/>
              <w:numPr>
                <w:ilvl w:val="0"/>
                <w:numId w:val="28"/>
              </w:numPr>
            </w:pPr>
            <w:r>
              <w:rPr/>
              <w:t xml:space="preserve">ongeconditioneerde stimulus (of prikkel), neutrale stimulus, geconditioneerde stimulus, ongeconditioneerde reflex (of respons), geconditioneerde reflex</w:t>
            </w:r>
          </w:p>
          <w:p>
            <w:pPr>
              <w:pStyle w:val="ListParagraph"/>
              <w:numPr>
                <w:ilvl w:val="0"/>
                <w:numId w:val="28"/>
              </w:numPr>
            </w:pPr>
            <w:r>
              <w:rPr/>
              <w:t xml:space="preserve">gedragstherapie: aversietherapie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experiment beschrijven en analyseren</w:t>
              <w:br/>
              <w:t xml:space="preserve"/>
              <w:br/>
              <w:t xml:space="preserve">het schema van de klassieke conditionering beschrijven, illustreren en toepassen</w:t>
              <w:br/>
              <w:t xml:space="preserve"/>
              <w:br/>
              <w:t xml:space="preserve">de werking van aversietherapie beschrijven en illustreren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gedragspsychologie: operante conditionering:</w:t>
            </w:r>
          </w:p>
          <w:p>
            <w:pPr>
              <w:pStyle w:val="ListParagraph"/>
              <w:numPr>
                <w:ilvl w:val="0"/>
                <w:numId w:val="29"/>
              </w:numPr>
            </w:pPr>
            <w:r>
              <w:rPr/>
              <w:t xml:space="preserve">experimenten van Thorndike en Skinner</w:t>
            </w:r>
          </w:p>
          <w:p>
            <w:pPr>
              <w:pStyle w:val="ListParagraph"/>
              <w:numPr>
                <w:ilvl w:val="0"/>
                <w:numId w:val="29"/>
              </w:numPr>
            </w:pPr>
            <w:r>
              <w:rPr/>
              <w:t xml:space="preserve">positieve en negatieve bekrachtiging,</w:t>
              <w:br/>
              <w:t xml:space="preserve"> positieve en negatieve straf, uitdoving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experimenten beschrijven en analyseren</w:t>
              <w:br/>
              <w:t xml:space="preserve"/>
              <w:br/>
              <w:t xml:space="preserve">deze principes beschrijven, vergelijken, illustreren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sociale leertheorie: </w:t>
            </w:r>
          </w:p>
          <w:p>
            <w:pPr>
              <w:pStyle w:val="ListParagraph"/>
              <w:numPr>
                <w:ilvl w:val="0"/>
                <w:numId w:val="30"/>
              </w:numPr>
            </w:pPr>
            <w:r>
              <w:rPr/>
              <w:t xml:space="preserve">Bobo Doll experiment van Bandura</w:t>
            </w:r>
          </w:p>
          <w:p>
            <w:pPr>
              <w:pStyle w:val="ListParagraph"/>
              <w:numPr>
                <w:ilvl w:val="0"/>
                <w:numId w:val="30"/>
              </w:numPr>
            </w:pPr>
            <w:r>
              <w:rPr/>
              <w:t xml:space="preserve">leren door observeren en imiteren</w:t>
            </w:r>
          </w:p>
          <w:p>
            <w:pPr>
              <w:pStyle w:val="ListParagraph"/>
              <w:numPr>
                <w:ilvl w:val="0"/>
                <w:numId w:val="30"/>
              </w:numPr>
            </w:pPr>
            <w:r>
              <w:rPr/>
              <w:t xml:space="preserve">therapie: fobieën overwinnen door imitatie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experiment beschrijven en analyseren</w:t>
              <w:br/>
              <w:t xml:space="preserve"/>
              <w:br/>
              <w:t xml:space="preserve">het principe van de cognitieve sociale leertheorie beschrijven, illustreren en toepassen</w:t>
              <w:br/>
              <w:t xml:space="preserve"/>
              <w:br/>
              <w:t xml:space="preserve">de toepassing van de inzichten van deze theorie in therapie beschrijven en illustreren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2.3 Zelfbeeld</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opbouw zelfbeeld: </w:t>
            </w:r>
          </w:p>
          <w:p>
            <w:pPr>
              <w:pStyle w:val="ListParagraph"/>
              <w:numPr>
                <w:ilvl w:val="0"/>
                <w:numId w:val="31"/>
              </w:numPr>
            </w:pPr>
            <w:r>
              <w:rPr/>
              <w:t xml:space="preserve">zelfbewustzijn</w:t>
            </w:r>
          </w:p>
          <w:p>
            <w:pPr>
              <w:pStyle w:val="ListParagraph"/>
              <w:numPr>
                <w:ilvl w:val="0"/>
                <w:numId w:val="31"/>
              </w:numPr>
            </w:pPr>
            <w:r>
              <w:rPr/>
              <w:t xml:space="preserve">processen die ons zelfbeeld bepalen: introspectie, zelfperceptie, spiegelzelf, autobiografische herinneringen</w:t>
            </w:r>
          </w:p>
          <w:p>
            <w:pPr>
              <w:pStyle w:val="ListParagraph"/>
              <w:numPr>
                <w:ilvl w:val="0"/>
                <w:numId w:val="31"/>
              </w:numPr>
            </w:pPr>
            <w:r>
              <w:rPr/>
              <w:t xml:space="preserve">zelfwaardering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vergelijken, illustreren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vormen en onderdelen:</w:t>
            </w:r>
          </w:p>
          <w:p>
            <w:pPr>
              <w:pStyle w:val="ListParagraph"/>
              <w:numPr>
                <w:ilvl w:val="0"/>
                <w:numId w:val="32"/>
              </w:numPr>
            </w:pPr>
            <w:r>
              <w:rPr/>
              <w:t xml:space="preserve">positief en negatief zelfbeeld</w:t>
            </w:r>
          </w:p>
          <w:p>
            <w:pPr>
              <w:pStyle w:val="ListParagraph"/>
              <w:numPr>
                <w:ilvl w:val="0"/>
                <w:numId w:val="32"/>
              </w:numPr>
            </w:pPr>
            <w:r>
              <w:rPr/>
              <w:t xml:space="preserve">actueel en ideaal zelfbeeld</w:t>
            </w:r>
          </w:p>
          <w:p>
            <w:pPr>
              <w:pStyle w:val="ListParagraph"/>
              <w:numPr>
                <w:ilvl w:val="0"/>
                <w:numId w:val="32"/>
              </w:numPr>
            </w:pPr>
            <w:r>
              <w:rPr/>
              <w:t xml:space="preserve">sociaal zelfbeeld, emotioneel zelfbeeld, cognitief zelfbeeld, fysiek zelfbeeld, materieel zelfbeeld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vormen en onderdelen vergelijken, illustreren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psychische stoornissen:</w:t>
            </w:r>
          </w:p>
          <w:p>
            <w:pPr>
              <w:pStyle w:val="ListParagraph"/>
              <w:numPr>
                <w:ilvl w:val="0"/>
                <w:numId w:val="33"/>
              </w:numPr>
            </w:pPr>
            <w:r>
              <w:rPr/>
              <w:t xml:space="preserve">symptoom, diagnose, syndroom</w:t>
            </w:r>
          </w:p>
          <w:p>
            <w:pPr>
              <w:pStyle w:val="ListParagraph"/>
              <w:numPr>
                <w:ilvl w:val="0"/>
                <w:numId w:val="33"/>
              </w:numPr>
            </w:pPr>
            <w:r>
              <w:rPr/>
              <w:t xml:space="preserve">DSM 5: doel en uitgever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benoemen, vergelijken, illustreren en toepassen</w:t>
              <w:br/>
              <w:t xml:space="preserve"/>
              <w:br/>
              <w:t xml:space="preserve">deze kenmerken van de DSM 5 benoemen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3 Denken over rollen in de samenleving: identiteit</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Dit onderdeel gaat over de kenmerken en de verschillende vormen van identiteit.</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3.1 Kenmerken en indeling</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kenmerken van identiteit: </w:t>
            </w:r>
          </w:p>
          <w:p>
            <w:pPr>
              <w:pStyle w:val="ListParagraph"/>
              <w:numPr>
                <w:ilvl w:val="0"/>
                <w:numId w:val="34"/>
              </w:numPr>
            </w:pPr>
            <w:r>
              <w:rPr/>
              <w:t xml:space="preserve">relatief</w:t>
            </w:r>
          </w:p>
          <w:p>
            <w:pPr>
              <w:pStyle w:val="ListParagraph"/>
              <w:numPr>
                <w:ilvl w:val="0"/>
                <w:numId w:val="34"/>
              </w:numPr>
            </w:pPr>
            <w:r>
              <w:rPr/>
              <w:t xml:space="preserve">dynamisch</w:t>
            </w:r>
          </w:p>
          <w:p>
            <w:pPr>
              <w:pStyle w:val="ListParagraph"/>
              <w:numPr>
                <w:ilvl w:val="0"/>
                <w:numId w:val="34"/>
              </w:numPr>
            </w:pPr>
            <w:r>
              <w:rPr/>
              <w:t xml:space="preserve">meervoudig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kenmerken beschrijven en illustreren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vormen van identiteit:</w:t>
            </w:r>
          </w:p>
          <w:p>
            <w:pPr>
              <w:pStyle w:val="ListParagraph"/>
              <w:numPr>
                <w:ilvl w:val="0"/>
                <w:numId w:val="35"/>
              </w:numPr>
            </w:pPr>
            <w:r>
              <w:rPr/>
              <w:t xml:space="preserve">persoonlijke identiteit of zelfbeeld</w:t>
            </w:r>
          </w:p>
          <w:p>
            <w:pPr>
              <w:pStyle w:val="ListParagraph"/>
              <w:numPr>
                <w:ilvl w:val="0"/>
                <w:numId w:val="35"/>
              </w:numPr>
            </w:pPr>
            <w:r>
              <w:rPr/>
              <w:t xml:space="preserve">groepsidentiteit of sociale identiteit</w:t>
            </w:r>
          </w:p>
          <w:p>
            <w:pPr>
              <w:pStyle w:val="ListParagraph"/>
              <w:numPr>
                <w:ilvl w:val="0"/>
                <w:numId w:val="35"/>
              </w:numPr>
            </w:pPr>
            <w:r>
              <w:rPr/>
              <w:t xml:space="preserve">geslachtsidentiteit</w:t>
            </w:r>
          </w:p>
          <w:p>
            <w:pPr>
              <w:pStyle w:val="ListParagraph"/>
              <w:numPr>
                <w:ilvl w:val="0"/>
                <w:numId w:val="35"/>
              </w:numPr>
            </w:pPr>
            <w:r>
              <w:rPr/>
              <w:t xml:space="preserve">culturele identiteit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vormen beschrijven, vergelijken, illustreren en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3.2 Geslachtsidentiteit</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Je moet de geslachtsidentiteit beschrijven en verklaringen geven voor het ontstaan.  Bespreek ook welke factoren daar een invloed op kunnen hebben.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begrippen:</w:t>
            </w:r>
          </w:p>
          <w:p>
            <w:pPr>
              <w:pStyle w:val="ListParagraph"/>
              <w:numPr>
                <w:ilvl w:val="0"/>
                <w:numId w:val="36"/>
              </w:numPr>
            </w:pPr>
            <w:r>
              <w:rPr/>
              <w:t xml:space="preserve">geslacht</w:t>
            </w:r>
          </w:p>
          <w:p>
            <w:pPr>
              <w:pStyle w:val="ListParagraph"/>
              <w:numPr>
                <w:ilvl w:val="0"/>
                <w:numId w:val="36"/>
              </w:numPr>
            </w:pPr>
            <w:r>
              <w:rPr/>
              <w:t xml:space="preserve">gender</w:t>
            </w:r>
          </w:p>
          <w:p>
            <w:pPr>
              <w:pStyle w:val="ListParagraph"/>
              <w:numPr>
                <w:ilvl w:val="0"/>
                <w:numId w:val="36"/>
              </w:numPr>
            </w:pPr>
            <w:r>
              <w:rPr/>
              <w:t xml:space="preserve">genderrol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vergelijken, illustreren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ontstaan van de geslachtsidentiteit</w:t>
            </w:r>
          </w:p>
          <w:p>
            <w:pPr>
              <w:pStyle w:val="ListParagraph"/>
              <w:numPr>
                <w:ilvl w:val="0"/>
                <w:numId w:val="37"/>
              </w:numPr>
            </w:pPr>
            <w:r>
              <w:rPr/>
              <w:t xml:space="preserve">volgens de psychoanalyse</w:t>
            </w:r>
          </w:p>
          <w:p>
            <w:pPr>
              <w:pStyle w:val="ListParagraph"/>
              <w:numPr>
                <w:ilvl w:val="0"/>
                <w:numId w:val="37"/>
              </w:numPr>
            </w:pPr>
            <w:r>
              <w:rPr/>
              <w:t xml:space="preserve">volgens de sociale leertheorie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verklaringen beschrijven, vergelijken, illustreren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factoren die het vormen van een geslachtidentiteit beïnvloeden:</w:t>
            </w:r>
          </w:p>
          <w:p>
            <w:pPr>
              <w:pStyle w:val="ListParagraph"/>
              <w:numPr>
                <w:ilvl w:val="0"/>
                <w:numId w:val="38"/>
              </w:numPr>
            </w:pPr>
            <w:r>
              <w:rPr/>
              <w:t xml:space="preserve">biologische factoren: homoseksualiteit, transgenderisme, transseksualiteit</w:t>
            </w:r>
          </w:p>
          <w:p>
            <w:pPr>
              <w:pStyle w:val="ListParagraph"/>
              <w:numPr>
                <w:ilvl w:val="0"/>
                <w:numId w:val="38"/>
              </w:numPr>
            </w:pPr>
            <w:r>
              <w:rPr/>
              <w:t xml:space="preserve">maatschappelijke factoren: rolpatronen, loonkloof, carrièreverschillen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factoren beschrijven, vergelijken, illustreren en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3.3 Groepsidentiteit</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Voor dit onderdeel moet je beschrijven wat een groepsidentiteit is en hoe we die verwerven via verschillende vormen van socialisatie.</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begrippen: </w:t>
            </w:r>
          </w:p>
          <w:p>
            <w:pPr>
              <w:pStyle w:val="ListParagraph"/>
              <w:numPr>
                <w:ilvl w:val="0"/>
                <w:numId w:val="39"/>
              </w:numPr>
            </w:pPr>
            <w:r>
              <w:rPr/>
              <w:t xml:space="preserve">socialisatie</w:t>
            </w:r>
          </w:p>
          <w:p>
            <w:pPr>
              <w:pStyle w:val="ListParagraph"/>
              <w:numPr>
                <w:ilvl w:val="0"/>
                <w:numId w:val="39"/>
              </w:numPr>
            </w:pPr>
            <w:r>
              <w:rPr/>
              <w:t xml:space="preserve">socialiserende instantie</w:t>
            </w:r>
          </w:p>
          <w:p>
            <w:pPr>
              <w:pStyle w:val="ListParagraph"/>
              <w:numPr>
                <w:ilvl w:val="0"/>
                <w:numId w:val="39"/>
              </w:numPr>
            </w:pPr>
            <w:r>
              <w:rPr/>
              <w:t xml:space="preserve">conformisme</w:t>
            </w:r>
          </w:p>
          <w:p>
            <w:pPr>
              <w:pStyle w:val="ListParagraph"/>
              <w:numPr>
                <w:ilvl w:val="0"/>
                <w:numId w:val="39"/>
              </w:numPr>
            </w:pPr>
            <w:r>
              <w:rPr/>
              <w:t xml:space="preserve">deviant gedrag</w:t>
            </w:r>
          </w:p>
          <w:p>
            <w:pPr>
              <w:pStyle w:val="ListParagraph"/>
              <w:numPr>
                <w:ilvl w:val="0"/>
                <w:numId w:val="39"/>
              </w:numPr>
            </w:pPr>
            <w:r>
              <w:rPr/>
              <w:t xml:space="preserve">emancipatie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illustreren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socialisatie:</w:t>
            </w:r>
          </w:p>
          <w:p>
            <w:pPr>
              <w:pStyle w:val="ListParagraph"/>
              <w:numPr>
                <w:ilvl w:val="0"/>
                <w:numId w:val="40"/>
              </w:numPr>
            </w:pPr>
            <w:r>
              <w:rPr/>
              <w:t xml:space="preserve">primaire socialisatie: play en game stadium, significant other en generalized other</w:t>
            </w:r>
          </w:p>
          <w:p>
            <w:pPr>
              <w:pStyle w:val="ListParagraph"/>
              <w:numPr>
                <w:ilvl w:val="0"/>
                <w:numId w:val="40"/>
              </w:numPr>
            </w:pPr>
            <w:r>
              <w:rPr/>
              <w:t xml:space="preserve">secundaire socialisatie</w:t>
            </w:r>
          </w:p>
          <w:p>
            <w:pPr>
              <w:pStyle w:val="ListParagraph"/>
              <w:numPr>
                <w:ilvl w:val="0"/>
                <w:numId w:val="40"/>
              </w:numPr>
            </w:pPr>
            <w:r>
              <w:rPr/>
              <w:t xml:space="preserve">tertiaire socialisatie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primaire socialisatie beschrijven, illustreren, toepassen en analyseren</w:t>
              <w:br/>
              <w:t xml:space="preserve"/>
              <w:br/>
              <w:t xml:space="preserve">secundaire en tertiaire socialisatie beschrijven, illustreren, toepassen, analyseren en beoordelen</w:t>
              <w:br/>
              <w:t xml:space="preserve"/>
              <w:br/>
              <w:t xml:space="preserve">de socialiserende instantie(s)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invloed op groepsidentiteit:</w:t>
            </w:r>
          </w:p>
          <w:p>
            <w:pPr>
              <w:pStyle w:val="ListParagraph"/>
              <w:numPr>
                <w:ilvl w:val="0"/>
                <w:numId w:val="41"/>
              </w:numPr>
            </w:pPr>
            <w:r>
              <w:rPr/>
              <w:t xml:space="preserve">globalisering</w:t>
            </w:r>
          </w:p>
          <w:p>
            <w:pPr>
              <w:pStyle w:val="ListParagraph"/>
              <w:numPr>
                <w:ilvl w:val="0"/>
                <w:numId w:val="41"/>
              </w:numPr>
            </w:pPr>
            <w:r>
              <w:rPr/>
              <w:t xml:space="preserve">individualisering</w:t>
            </w:r>
          </w:p>
          <w:p>
            <w:pPr>
              <w:pStyle w:val="ListParagraph"/>
              <w:numPr>
                <w:ilvl w:val="0"/>
                <w:numId w:val="41"/>
              </w:numPr>
            </w:pPr>
            <w:r>
              <w:rPr/>
              <w:t xml:space="preserve">postmodernisme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invloed van deze processen op de groepsidentiteit beschrijven, illustreren, toepassen, analyseren en beoordelen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3.4 Culturele identiteit</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Voor dit onderdeel verdiep je je in migratie en wat migratie betekent voor de culturele identiteit. Het is belangrijk dat je alle begrippen correct gebruikt en van elkaar onderscheidt.</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begrippen: dominante cultuur, subcultuur, tegencultuur, acculturatie, enculturatie, migrant, vluchteling, asielzoeker, illegaal, sans-papiers, persoon van vreemde herkomst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beschrijven, vergelijken, illustreren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acculturatievormen:</w:t>
            </w:r>
          </w:p>
          <w:p>
            <w:pPr>
              <w:pStyle w:val="ListParagraph"/>
              <w:numPr>
                <w:ilvl w:val="0"/>
                <w:numId w:val="42"/>
              </w:numPr>
            </w:pPr>
            <w:r>
              <w:rPr/>
              <w:t xml:space="preserve">integratie</w:t>
            </w:r>
          </w:p>
          <w:p>
            <w:pPr>
              <w:pStyle w:val="ListParagraph"/>
              <w:numPr>
                <w:ilvl w:val="0"/>
                <w:numId w:val="42"/>
              </w:numPr>
            </w:pPr>
            <w:r>
              <w:rPr/>
              <w:t xml:space="preserve">assimilatie</w:t>
            </w:r>
          </w:p>
          <w:p>
            <w:pPr>
              <w:pStyle w:val="ListParagraph"/>
              <w:numPr>
                <w:ilvl w:val="0"/>
                <w:numId w:val="42"/>
              </w:numPr>
            </w:pPr>
            <w:r>
              <w:rPr/>
              <w:t xml:space="preserve">segregatie</w:t>
            </w:r>
          </w:p>
          <w:p>
            <w:pPr>
              <w:pStyle w:val="ListParagraph"/>
              <w:numPr>
                <w:ilvl w:val="0"/>
                <w:numId w:val="42"/>
              </w:numPr>
            </w:pPr>
            <w:r>
              <w:rPr/>
              <w:t xml:space="preserve">marginalisatie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acculturatievormen beschrijven, vergelijken, illustreren, toepassen en beoordelen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verschillende opvattingen over lichaam en lichamelijkheid naargelang tijd en cultuur:</w:t>
            </w:r>
          </w:p>
          <w:p>
            <w:pPr>
              <w:pStyle w:val="ListParagraph"/>
              <w:numPr>
                <w:ilvl w:val="0"/>
                <w:numId w:val="43"/>
              </w:numPr>
            </w:pPr>
            <w:r>
              <w:rPr/>
              <w:t xml:space="preserve">schoonheidsidealen voor man en vrouw</w:t>
            </w:r>
          </w:p>
          <w:p>
            <w:pPr>
              <w:pStyle w:val="ListParagraph"/>
              <w:numPr>
                <w:ilvl w:val="0"/>
                <w:numId w:val="43"/>
              </w:numPr>
            </w:pPr>
            <w:r>
              <w:rPr/>
              <w:t xml:space="preserve">visies op seksualiteit</w:t>
            </w:r>
          </w:p>
          <w:p>
            <w:pPr>
              <w:pStyle w:val="ListParagraph"/>
              <w:numPr>
                <w:ilvl w:val="0"/>
                <w:numId w:val="43"/>
              </w:numPr>
            </w:pPr>
            <w:r>
              <w:rPr/>
              <w:t xml:space="preserve">omgaan met ziekte, gezondheid, ouderdom, zorg</w:t>
            </w:r>
          </w:p>
          <w:p>
            <w:pPr>
              <w:pStyle w:val="ListParagraph"/>
              <w:numPr>
                <w:ilvl w:val="0"/>
                <w:numId w:val="43"/>
              </w:numPr>
            </w:pPr>
            <w:r>
              <w:rPr/>
              <w:t xml:space="preserve">omgaan met de dood</w:t>
            </w:r>
          </w:p>
          <w:p>
            <w:pPr>
              <w:pStyle w:val="ListParagraph"/>
              <w:numPr>
                <w:ilvl w:val="0"/>
                <w:numId w:val="43"/>
              </w:numPr>
            </w:pPr>
            <w:r>
              <w:rPr/>
              <w:t xml:space="preserve">lichamelijkheid in omgangsvormen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opvattingen illustreren, vergelijken, toepassen en analyseren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evolutie van culturele identiteit onder invloed van</w:t>
            </w:r>
          </w:p>
          <w:p>
            <w:pPr>
              <w:pStyle w:val="ListParagraph"/>
              <w:numPr>
                <w:ilvl w:val="0"/>
                <w:numId w:val="44"/>
              </w:numPr>
            </w:pPr>
            <w:r>
              <w:rPr/>
              <w:t xml:space="preserve">migratie</w:t>
            </w:r>
          </w:p>
          <w:p>
            <w:pPr>
              <w:pStyle w:val="ListParagraph"/>
              <w:numPr>
                <w:ilvl w:val="0"/>
                <w:numId w:val="44"/>
              </w:numPr>
            </w:pPr>
            <w:r>
              <w:rPr/>
              <w:t xml:space="preserve">globalisering</w:t>
            </w:r>
          </w:p>
          <w:p>
            <w:pPr>
              <w:pStyle w:val="ListParagraph"/>
              <w:numPr>
                <w:ilvl w:val="0"/>
                <w:numId w:val="44"/>
              </w:numPr>
            </w:pPr>
            <w:r>
              <w:rPr/>
              <w:t xml:space="preserve">media</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invloed van deze processen beschrijven, verklaren, illustreren,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asielprocedure in België:</w:t>
            </w:r>
          </w:p>
          <w:p>
            <w:pPr>
              <w:pStyle w:val="ListParagraph"/>
              <w:numPr>
                <w:ilvl w:val="0"/>
                <w:numId w:val="45"/>
              </w:numPr>
            </w:pPr>
            <w:r>
              <w:rPr/>
              <w:t xml:space="preserve">asielaanvraag</w:t>
            </w:r>
          </w:p>
          <w:p>
            <w:pPr>
              <w:pStyle w:val="ListParagraph"/>
              <w:numPr>
                <w:ilvl w:val="0"/>
                <w:numId w:val="45"/>
              </w:numPr>
            </w:pPr>
            <w:r>
              <w:rPr/>
              <w:t xml:space="preserve">onderzoek en opvang</w:t>
            </w:r>
          </w:p>
          <w:p>
            <w:pPr>
              <w:pStyle w:val="ListParagraph"/>
              <w:numPr>
                <w:ilvl w:val="0"/>
                <w:numId w:val="45"/>
              </w:numPr>
            </w:pPr>
            <w:r>
              <w:rPr/>
              <w:t xml:space="preserve">beslissing: vluchtelingenstatuut, statuut inzake subsidiaire bescherming, weigering</w:t>
            </w:r>
          </w:p>
          <w:p>
            <w:pPr>
              <w:pStyle w:val="ListParagraph"/>
              <w:numPr>
                <w:ilvl w:val="0"/>
                <w:numId w:val="45"/>
              </w:numPr>
            </w:pPr>
            <w:r>
              <w:rPr/>
              <w:t xml:space="preserve">hervestiging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onderdelen beschrijven</w:t>
              <w:br/>
              <w:t xml:space="preserve"/>
              <w:br/>
              <w:t xml:space="preserve">de verschillende statuten beschrijven, vergelijken, illustreren en toepassen</w:t>
              <w:br/>
              <w:t xml:space="preserve"/>
              <w:br/>
              <w:t xml:space="preserve">de actuele uitdagingen van de asielprocedure analyseren aan de hand van documenten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4 Invloed van groepsidentiteit: conformisme en deviant gedrag</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Je moet beschrijven hoe groepen het gedrag van hun leden beïnvloeden, en enkele experimenten daarover kennen. Je moet ook verschillende verklaringen kunnen geven voor deviant gedrag en illustreren wat gevolgen kunnen zijn van het volgen of doorbreken van normen.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4.1 Omgaan met beïnvloeding</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vormen van sociale beïnvloeding: sociale facilitatie, sociaal lanterfanten, de-individuatie, helpen, inschikkelijkheid, conformisme, gehoorzaamheid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vormen beschrijven, vergelijken, illustreren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experimenten over psychosociale beïnvloeding:</w:t>
            </w:r>
          </w:p>
          <w:p>
            <w:pPr>
              <w:pStyle w:val="ListParagraph"/>
              <w:numPr>
                <w:ilvl w:val="0"/>
                <w:numId w:val="46"/>
              </w:numPr>
            </w:pPr>
            <w:r>
              <w:rPr/>
              <w:t xml:space="preserve">de experimenten van Asch, Milgram en Zimbardo: doel, opbouw, conclusie, verklaring</w:t>
            </w:r>
          </w:p>
          <w:p>
            <w:pPr>
              <w:pStyle w:val="ListParagraph"/>
              <w:numPr>
                <w:ilvl w:val="0"/>
                <w:numId w:val="46"/>
              </w:numPr>
            </w:pPr>
            <w:r>
              <w:rPr/>
              <w:t xml:space="preserve">omstandereffect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experimenten beschrijven, vergelijken, illustreren, toepassen en analyseren</w:t>
              <w:br/>
              <w:t xml:space="preserve"/>
              <w:br/>
              <w:t xml:space="preserve">dit effect beschrijven, illustreren, toepassen en analyseren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4.2 Individuele verklaringen voor deviant gedrag</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verklaringen die deviant gedrag als ziekte zien:</w:t>
            </w:r>
          </w:p>
          <w:p>
            <w:pPr>
              <w:pStyle w:val="ListParagraph"/>
              <w:numPr>
                <w:ilvl w:val="0"/>
                <w:numId w:val="47"/>
              </w:numPr>
            </w:pPr>
            <w:r>
              <w:rPr/>
              <w:t xml:space="preserve">biologische verklaringen vroeger en nu</w:t>
            </w:r>
          </w:p>
          <w:p>
            <w:pPr>
              <w:pStyle w:val="ListParagraph"/>
              <w:numPr>
                <w:ilvl w:val="0"/>
                <w:numId w:val="47"/>
              </w:numPr>
            </w:pPr>
            <w:r>
              <w:rPr/>
              <w:t xml:space="preserve">psychologische verklaring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verklaringen beschrijven, vergelijken, illustreren en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4.3 Sociologische verklaringen voor deviant gedrag</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anomietheorie van Durkheim:</w:t>
            </w:r>
          </w:p>
          <w:p>
            <w:pPr>
              <w:pStyle w:val="ListParagraph"/>
              <w:numPr>
                <w:ilvl w:val="0"/>
                <w:numId w:val="48"/>
              </w:numPr>
            </w:pPr>
            <w:r>
              <w:rPr/>
              <w:t xml:space="preserve">het begrip anomie volgens Durkheim</w:t>
            </w:r>
          </w:p>
          <w:p>
            <w:pPr>
              <w:pStyle w:val="ListParagraph"/>
              <w:numPr>
                <w:ilvl w:val="0"/>
                <w:numId w:val="48"/>
              </w:numPr>
            </w:pPr>
            <w:r>
              <w:rPr/>
              <w:t xml:space="preserve">oorzaken voor anomie</w:t>
            </w:r>
          </w:p>
          <w:p>
            <w:pPr>
              <w:pStyle w:val="ListParagraph"/>
              <w:numPr>
                <w:ilvl w:val="0"/>
                <w:numId w:val="48"/>
              </w:numPr>
            </w:pPr>
            <w:r>
              <w:rPr/>
              <w:t xml:space="preserve">kritiek op de theorie van Durkheim</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theorie beschrijven, vergelijken, illustreren en toepassen </w:t>
              <w:br/>
              <w:t xml:space="preserve"/>
              <w:br/>
              <w:t xml:space="preserve">de mogelijke oorzaken voor anomie beschrijven, illustreren en toepassen</w:t>
              <w:br/>
              <w:t xml:space="preserve"/>
              <w:br/>
              <w:t xml:space="preserve">kritiek op deze theorie beschrijven en beoordelen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anomietheorie van Merton:</w:t>
            </w:r>
          </w:p>
          <w:p>
            <w:pPr>
              <w:pStyle w:val="ListParagraph"/>
              <w:numPr>
                <w:ilvl w:val="0"/>
                <w:numId w:val="49"/>
              </w:numPr>
            </w:pPr>
            <w:r>
              <w:rPr/>
              <w:t xml:space="preserve">het begrip anomie volgens Merton</w:t>
            </w:r>
          </w:p>
          <w:p>
            <w:pPr>
              <w:pStyle w:val="ListParagraph"/>
              <w:numPr>
                <w:ilvl w:val="0"/>
                <w:numId w:val="49"/>
              </w:numPr>
            </w:pPr>
            <w:r>
              <w:rPr/>
              <w:t xml:space="preserve">4 vormen van reactie bij spanningen tussen doel en middelen</w:t>
            </w:r>
          </w:p>
          <w:p>
            <w:pPr>
              <w:pStyle w:val="ListParagraph"/>
              <w:numPr>
                <w:ilvl w:val="0"/>
                <w:numId w:val="49"/>
              </w:numPr>
            </w:pPr>
            <w:r>
              <w:rPr/>
              <w:t xml:space="preserve">kritiek op de theorie van Merton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theorie beschrijven, vergelijken, illustreren en toepassen</w:t>
              <w:br/>
              <w:t xml:space="preserve"/>
              <w:br/>
              <w:t xml:space="preserve">deze vormen van deviant gedrag beschrijven, vergelijken, illustreren en toepassen</w:t>
              <w:br/>
              <w:t xml:space="preserve"/>
              <w:br/>
              <w:t xml:space="preserve">kritiek op deze theorie beschrijven en beoordelen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sociale bindingstheorie (of sociale controletheorie) van Hirschi:</w:t>
            </w:r>
          </w:p>
          <w:p>
            <w:pPr>
              <w:pStyle w:val="ListParagraph"/>
              <w:numPr>
                <w:ilvl w:val="0"/>
                <w:numId w:val="50"/>
              </w:numPr>
            </w:pPr>
            <w:r>
              <w:rPr/>
              <w:t xml:space="preserve">4 elementen die binding bevorderen</w:t>
            </w:r>
          </w:p>
          <w:p>
            <w:pPr>
              <w:pStyle w:val="ListParagraph"/>
              <w:numPr>
                <w:ilvl w:val="0"/>
                <w:numId w:val="50"/>
              </w:numPr>
            </w:pPr>
            <w:r>
              <w:rPr/>
              <w:t xml:space="preserve">kritiek op de theorie van Hirschi</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theorie beschrijven, vergelijken, illustreren en toepassen</w:t>
              <w:br/>
              <w:t xml:space="preserve"/>
              <w:br/>
              <w:t xml:space="preserve">deze elementen beschrijven, vergelijken, illustreren en toepassen</w:t>
              <w:br/>
              <w:t xml:space="preserve"/>
              <w:br/>
              <w:t xml:space="preserve">kritiek op deze theorie beschrijven en beoordelen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labelingtheorie (of etiketteringstheorie) van Becker:</w:t>
            </w:r>
          </w:p>
          <w:p>
            <w:pPr>
              <w:pStyle w:val="ListParagraph"/>
              <w:numPr>
                <w:ilvl w:val="0"/>
                <w:numId w:val="51"/>
              </w:numPr>
            </w:pPr>
            <w:r>
              <w:rPr/>
              <w:t xml:space="preserve">het begrip deviant gedrag volgens Becker</w:t>
            </w:r>
          </w:p>
          <w:p>
            <w:pPr>
              <w:pStyle w:val="ListParagraph"/>
              <w:numPr>
                <w:ilvl w:val="0"/>
                <w:numId w:val="51"/>
              </w:numPr>
            </w:pPr>
            <w:r>
              <w:rPr/>
              <w:t xml:space="preserve">gevolgen van het etiketteren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theorie beschrijven, vergelijken, illustreren en toepassen</w:t>
              <w:br/>
              <w:t xml:space="preserve"/>
              <w:br/>
              <w:t xml:space="preserve">de gevolgen beschrijven en beoordelen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4.4 Gevolgen</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functionele en disfunctionele gevolgen van deviant en conformistisch gedrag voor individu en maatschappij</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gevolgen beschrijven, illustreren en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5 Denken over de samenleving: waarden en normen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5.1 Waarden en normen</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Hier bekijk je wat mensen en groepen belangrijk vinden en hoe men die normen en waarden doorgeeft. Je moet normen en waarden uit bronnen afleiden. Daarnaast moet je beschrijven hoe mensen zich cognitief en moreel ontwikkelen.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begrippen: waarden, normen, ethiek, moraal, waardenoverdracht, waardenhiërarchie, internalisering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definiëren, vergelijken, illustreren en toepassen</w:t>
              <w:br/>
              <w:t xml:space="preserve"/>
              <w:br/>
              <w:t xml:space="preserve">verbanden leggen tussen waarden en normen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morele ontwikkeling volgens Piaget:</w:t>
              <w:br/>
              <w:t xml:space="preserve"/>
              <w:br/>
              <w:t xml:space="preserve">3 stadia: leeftijd en morele redenering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stadia beschrijven, illustreren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morele ontwikkeling volgens Kohlberg:</w:t>
              <w:br/>
              <w:t xml:space="preserve"/>
              <w:br/>
              <w:t xml:space="preserve">3 niveaus en 6 stadia van moreel redeneren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niveaus en stadia beschrijven, illustreren en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5.2 Gedeelde waardenbeleving</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Je moet verklaren wat er kan gebeuren als groepen dezelfde waarden delen of net niet. Daarnaast moet je ook illustreren hoe waarden of waardenhiërarchieën evolueren door de tijd.</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begrippen: </w:t>
            </w:r>
          </w:p>
          <w:p>
            <w:pPr>
              <w:pStyle w:val="ListParagraph"/>
              <w:numPr>
                <w:ilvl w:val="0"/>
                <w:numId w:val="52"/>
              </w:numPr>
            </w:pPr>
            <w:r>
              <w:rPr/>
              <w:t xml:space="preserve">referentiekader</w:t>
            </w:r>
          </w:p>
          <w:p>
            <w:pPr>
              <w:pStyle w:val="ListParagraph"/>
              <w:numPr>
                <w:ilvl w:val="0"/>
                <w:numId w:val="52"/>
              </w:numPr>
            </w:pPr>
            <w:r>
              <w:rPr/>
              <w:t xml:space="preserve">sociale cohesie</w:t>
            </w:r>
          </w:p>
          <w:p>
            <w:pPr>
              <w:pStyle w:val="ListParagraph"/>
              <w:numPr>
                <w:ilvl w:val="0"/>
                <w:numId w:val="52"/>
              </w:numPr>
            </w:pPr>
            <w:r>
              <w:rPr/>
              <w:t xml:space="preserve">in-group</w:t>
            </w:r>
          </w:p>
          <w:p>
            <w:pPr>
              <w:pStyle w:val="ListParagraph"/>
              <w:numPr>
                <w:ilvl w:val="0"/>
                <w:numId w:val="52"/>
              </w:numPr>
            </w:pPr>
            <w:r>
              <w:rPr/>
              <w:t xml:space="preserve">out-group</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illustreren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effect van gedeelde en verschillende waardebeleving:</w:t>
            </w:r>
          </w:p>
          <w:p>
            <w:pPr>
              <w:pStyle w:val="ListParagraph"/>
              <w:numPr>
                <w:ilvl w:val="0"/>
                <w:numId w:val="53"/>
              </w:numPr>
            </w:pPr>
            <w:r>
              <w:rPr/>
              <w:t xml:space="preserve">sociale cohesie</w:t>
            </w:r>
          </w:p>
          <w:p>
            <w:pPr>
              <w:pStyle w:val="ListParagraph"/>
              <w:numPr>
                <w:ilvl w:val="0"/>
                <w:numId w:val="53"/>
              </w:numPr>
            </w:pPr>
            <w:r>
              <w:rPr/>
              <w:t xml:space="preserve">maatschappelijke breuklijnen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effecten beschrijven, vergelijken, illustreren en analyseren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sociale verandering en verschuiving in waardenhiërarchieën </w:t>
              <w:br/>
              <w:t xml:space="preserve"/>
              <w:br/>
              <w:t xml:space="preserve">bijvoorbeeld: secularisering, globalisering, veranderde visie op lichaam en seksualiteit, mens- en maatschappijbeeld…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processen illustreren en analyseren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Organisatie en wisselwerking</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1 Begrippen en classificatie</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begrippen: </w:t>
            </w:r>
          </w:p>
          <w:p>
            <w:pPr>
              <w:pStyle w:val="ListParagraph"/>
              <w:numPr>
                <w:ilvl w:val="0"/>
                <w:numId w:val="54"/>
              </w:numPr>
            </w:pPr>
            <w:r>
              <w:rPr/>
              <w:t xml:space="preserve">gezin</w:t>
            </w:r>
          </w:p>
          <w:p>
            <w:pPr>
              <w:pStyle w:val="ListParagraph"/>
              <w:numPr>
                <w:ilvl w:val="0"/>
                <w:numId w:val="54"/>
              </w:numPr>
            </w:pPr>
            <w:r>
              <w:rPr/>
              <w:t xml:space="preserve">referentiegroep</w:t>
            </w:r>
          </w:p>
          <w:p>
            <w:pPr>
              <w:pStyle w:val="ListParagraph"/>
              <w:numPr>
                <w:ilvl w:val="0"/>
                <w:numId w:val="54"/>
              </w:numPr>
            </w:pPr>
            <w:r>
              <w:rPr/>
              <w:t xml:space="preserve">peergroup</w:t>
            </w:r>
          </w:p>
          <w:p>
            <w:pPr>
              <w:pStyle w:val="ListParagraph"/>
              <w:numPr>
                <w:ilvl w:val="0"/>
                <w:numId w:val="54"/>
              </w:numPr>
            </w:pPr>
            <w:r>
              <w:rPr/>
              <w:t xml:space="preserve">beroepsgroep</w:t>
            </w:r>
          </w:p>
          <w:p>
            <w:pPr>
              <w:pStyle w:val="ListParagraph"/>
              <w:numPr>
                <w:ilvl w:val="0"/>
                <w:numId w:val="54"/>
              </w:numPr>
            </w:pPr>
            <w:r>
              <w:rPr/>
              <w:t xml:space="preserve">middenveld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illustreren en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2 Organisaties en groeperingen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Voor dit onderdeel moet je verschillende organisatievormen beschrijven, hun kenmerken en werking toelichten, en hun rol situeren in een veranderende samenleving.</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2.1 Gezin</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evolutie van westerse gezinsvormen vanaf de industriële revolutie tot nu</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evolutie beschrijven, vergelijken en verklaren</w:t>
              <w:br/>
              <w:t xml:space="preserve"/>
              <w:br/>
              <w:t xml:space="preserve">cijfergegevens over gezinsvormen analyseren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verschillen in gezinssamenstelling naargelang de (sub)cultuur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verschillen beschrijven 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effect van het (niet) behoren tot een gezin:</w:t>
            </w:r>
          </w:p>
          <w:p>
            <w:pPr>
              <w:pStyle w:val="ListParagraph"/>
              <w:numPr>
                <w:ilvl w:val="0"/>
                <w:numId w:val="55"/>
              </w:numPr>
            </w:pPr>
            <w:r>
              <w:rPr/>
              <w:t xml:space="preserve">hechtingsgedrag, scheidingsangst, geen bodem syndroom</w:t>
            </w:r>
          </w:p>
          <w:p>
            <w:pPr>
              <w:pStyle w:val="ListParagraph"/>
              <w:numPr>
                <w:ilvl w:val="0"/>
                <w:numId w:val="55"/>
              </w:numPr>
            </w:pPr>
            <w:r>
              <w:rPr/>
              <w:t xml:space="preserve">verwaarlozing, verwenning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beschrijven, verklaren, illustreren en toepassen</w:t>
              <w:br/>
              <w:t xml:space="preserve"/>
              <w:br/>
              <w:t xml:space="preserve">de gevolgen van verwaarlozing en verwenning beschrijven, illustreren en verklaren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2.2 Referentiegroep</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functie van een referentiegroep</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functie van een referentiegroep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soorten referentiegroepen</w:t>
            </w:r>
          </w:p>
          <w:p>
            <w:pPr>
              <w:pStyle w:val="ListParagraph"/>
              <w:numPr>
                <w:ilvl w:val="0"/>
                <w:numId w:val="56"/>
              </w:numPr>
            </w:pPr>
            <w:r>
              <w:rPr/>
              <w:t xml:space="preserve">positieve en negatieve referentiegroep</w:t>
            </w:r>
          </w:p>
          <w:p>
            <w:pPr>
              <w:pStyle w:val="ListParagraph"/>
              <w:numPr>
                <w:ilvl w:val="0"/>
                <w:numId w:val="56"/>
              </w:numPr>
            </w:pPr>
            <w:r>
              <w:rPr/>
              <w:t xml:space="preserve">vergelijkende en normatieve referentiegroep</w:t>
            </w:r>
          </w:p>
          <w:p>
            <w:pPr>
              <w:pStyle w:val="ListParagraph"/>
              <w:numPr>
                <w:ilvl w:val="0"/>
                <w:numId w:val="56"/>
              </w:numPr>
            </w:pPr>
            <w:r>
              <w:rPr/>
              <w:t xml:space="preserve">peergroup</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verschillende indelingen in referentiegroepen beschrijven, vergelijken, illustreren en toepassen</w:t>
              <w:br/>
              <w:t xml:space="preserve"/>
              <w:br/>
              <w:t xml:space="preserve">verklaren waarom een peergroup een referentiegroep is</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2.3 Beroepsgroep</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factoren die een studie- en beroepskeuze bepalen:</w:t>
            </w:r>
          </w:p>
          <w:p>
            <w:pPr>
              <w:pStyle w:val="ListParagraph"/>
              <w:numPr>
                <w:ilvl w:val="0"/>
                <w:numId w:val="57"/>
              </w:numPr>
            </w:pPr>
            <w:r>
              <w:rPr/>
              <w:t xml:space="preserve">rationele factoren</w:t>
            </w:r>
          </w:p>
          <w:p>
            <w:pPr>
              <w:pStyle w:val="ListParagraph"/>
              <w:numPr>
                <w:ilvl w:val="0"/>
                <w:numId w:val="57"/>
              </w:numPr>
            </w:pPr>
            <w:r>
              <w:rPr/>
              <w:t xml:space="preserve">emotionele factoren</w:t>
            </w:r>
          </w:p>
          <w:p>
            <w:pPr>
              <w:pStyle w:val="ListParagraph"/>
              <w:numPr>
                <w:ilvl w:val="0"/>
                <w:numId w:val="57"/>
              </w:numPr>
            </w:pPr>
            <w:r>
              <w:rPr/>
              <w:t xml:space="preserve">persoonlijkheidskenmerken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factoren beschrijven, illustreren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beroepsorganisaties:</w:t>
            </w:r>
          </w:p>
          <w:p>
            <w:pPr>
              <w:pStyle w:val="ListParagraph"/>
              <w:numPr>
                <w:ilvl w:val="0"/>
                <w:numId w:val="58"/>
              </w:numPr>
            </w:pPr>
            <w:r>
              <w:rPr/>
              <w:t xml:space="preserve">externe functies </w:t>
            </w:r>
          </w:p>
          <w:p>
            <w:pPr>
              <w:pStyle w:val="ListParagraph"/>
              <w:numPr>
                <w:ilvl w:val="0"/>
                <w:numId w:val="58"/>
              </w:numPr>
            </w:pPr>
            <w:r>
              <w:rPr/>
              <w:t xml:space="preserve">interne functies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functies beschrijven, illustreren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waardering:</w:t>
            </w:r>
          </w:p>
          <w:p>
            <w:pPr>
              <w:pStyle w:val="ListParagraph"/>
              <w:numPr>
                <w:ilvl w:val="0"/>
                <w:numId w:val="59"/>
              </w:numPr>
            </w:pPr>
            <w:r>
              <w:rPr/>
              <w:t xml:space="preserve">verschillen in sociale waardering per beroepsgroep</w:t>
            </w:r>
          </w:p>
          <w:p>
            <w:pPr>
              <w:pStyle w:val="ListParagraph"/>
              <w:numPr>
                <w:ilvl w:val="0"/>
                <w:numId w:val="59"/>
              </w:numPr>
            </w:pPr>
            <w:r>
              <w:rPr/>
              <w:t xml:space="preserve">effect van toenemende scholing op de participatie en waardering van beroepen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verschillen beschrijven, illustreren en verklaren</w:t>
              <w:br/>
              <w:t xml:space="preserve"/>
              <w:br/>
              <w:t xml:space="preserve">dit effect beschrijven, illustreren en verklaren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2.4 Middenveld</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begrippen:</w:t>
            </w:r>
          </w:p>
          <w:p>
            <w:pPr>
              <w:pStyle w:val="ListParagraph"/>
              <w:numPr>
                <w:ilvl w:val="0"/>
                <w:numId w:val="60"/>
              </w:numPr>
            </w:pPr>
            <w:r>
              <w:rPr/>
              <w:t xml:space="preserve">verzuiling</w:t>
            </w:r>
          </w:p>
          <w:p>
            <w:pPr>
              <w:pStyle w:val="ListParagraph"/>
              <w:numPr>
                <w:ilvl w:val="0"/>
                <w:numId w:val="60"/>
              </w:numPr>
            </w:pPr>
            <w:r>
              <w:rPr/>
              <w:t xml:space="preserve">ontzuiling</w:t>
            </w:r>
          </w:p>
          <w:p>
            <w:pPr>
              <w:pStyle w:val="ListParagraph"/>
              <w:numPr>
                <w:ilvl w:val="0"/>
                <w:numId w:val="60"/>
              </w:numPr>
            </w:pPr>
            <w:r>
              <w:rPr/>
              <w:t xml:space="preserve">pluralisme</w:t>
            </w:r>
          </w:p>
          <w:p>
            <w:pPr>
              <w:pStyle w:val="ListParagraph"/>
              <w:numPr>
                <w:ilvl w:val="0"/>
                <w:numId w:val="60"/>
              </w:numPr>
            </w:pPr>
            <w:r>
              <w:rPr/>
              <w:t xml:space="preserve">democratie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benoemen, vergelijken, illustreren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invloed van het middenveld op democratie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beschrijven, illustreren en toepassen hoe het middenveld politieke besluitvorming beïnvloedt</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2.5 Organisaties in een snel veranderende samenleving</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begrippen: </w:t>
            </w:r>
          </w:p>
          <w:p>
            <w:pPr>
              <w:pStyle w:val="ListParagraph"/>
              <w:numPr>
                <w:ilvl w:val="0"/>
                <w:numId w:val="61"/>
              </w:numPr>
            </w:pPr>
            <w:r>
              <w:rPr/>
              <w:t xml:space="preserve">globalisering</w:t>
            </w:r>
          </w:p>
          <w:p>
            <w:pPr>
              <w:pStyle w:val="ListParagraph"/>
              <w:numPr>
                <w:ilvl w:val="0"/>
                <w:numId w:val="61"/>
              </w:numPr>
            </w:pPr>
            <w:r>
              <w:rPr/>
              <w:t xml:space="preserve">netwerken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benoemen, illustreren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voor- en nadelen van globalisering binnen verschillende maatschappelijke domeinen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voor- en nadelen van globalisering beschrijven, vergelijken, illustreren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invloed van de veranderende samenleving op gezinnen, referentiegroepen, beroepsgroepen, het middenveld en netwerken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invloed beschrijven en beoordelen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3 Verschillen tussen groeperingen: sociale stratificatie</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Je bekijkt sociale stratificatie in al zijn vormen en je geeft verschillende oorzaken, gevolgen en verklaringen. Je bespreekt de evolutie en je beschrijft hoe men van sociale laag kan veranderen. Daarnaast beschrijf je ook de breuklijnen in onze samenleving.</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3.1 Begrippen en classificatie</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begrippen: </w:t>
            </w:r>
          </w:p>
          <w:p>
            <w:pPr>
              <w:pStyle w:val="ListParagraph"/>
              <w:numPr>
                <w:ilvl w:val="0"/>
                <w:numId w:val="62"/>
              </w:numPr>
            </w:pPr>
            <w:r>
              <w:rPr/>
              <w:t xml:space="preserve">sociale klasse</w:t>
            </w:r>
          </w:p>
          <w:p>
            <w:pPr>
              <w:pStyle w:val="ListParagraph"/>
              <w:numPr>
                <w:ilvl w:val="0"/>
                <w:numId w:val="62"/>
              </w:numPr>
            </w:pPr>
            <w:r>
              <w:rPr/>
              <w:t xml:space="preserve">sociale stratificatie</w:t>
            </w:r>
          </w:p>
          <w:p>
            <w:pPr>
              <w:pStyle w:val="ListParagraph"/>
              <w:numPr>
                <w:ilvl w:val="0"/>
                <w:numId w:val="62"/>
              </w:numPr>
            </w:pPr>
            <w:r>
              <w:rPr/>
              <w:t xml:space="preserve">sociaal-economische status (SES)</w:t>
            </w:r>
          </w:p>
          <w:p>
            <w:pPr>
              <w:pStyle w:val="ListParagraph"/>
              <w:numPr>
                <w:ilvl w:val="0"/>
                <w:numId w:val="62"/>
              </w:numPr>
            </w:pPr>
            <w:r>
              <w:rPr/>
              <w:t xml:space="preserve">mattheuseffect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vergelijken, illustreren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vormen van sociale stratificatie:</w:t>
            </w:r>
          </w:p>
          <w:p>
            <w:pPr>
              <w:pStyle w:val="ListParagraph"/>
              <w:numPr>
                <w:ilvl w:val="0"/>
                <w:numId w:val="63"/>
              </w:numPr>
            </w:pPr>
            <w:r>
              <w:rPr/>
              <w:t xml:space="preserve">klassenmaatschappij</w:t>
            </w:r>
          </w:p>
          <w:p>
            <w:pPr>
              <w:pStyle w:val="ListParagraph"/>
              <w:numPr>
                <w:ilvl w:val="0"/>
                <w:numId w:val="63"/>
              </w:numPr>
            </w:pPr>
            <w:r>
              <w:rPr/>
              <w:t xml:space="preserve">standenmaatschappij</w:t>
            </w:r>
          </w:p>
          <w:p>
            <w:pPr>
              <w:pStyle w:val="ListParagraph"/>
              <w:numPr>
                <w:ilvl w:val="0"/>
                <w:numId w:val="63"/>
              </w:numPr>
            </w:pPr>
            <w:r>
              <w:rPr/>
              <w:t xml:space="preserve">kastenmaatschappij</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vormen beschrijven, vergelijken, illustreren en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3.2 Verklaringen voor sociale stratificatie</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factoren die sociale stratificatie bepalen: beroep, inkomen of rijkdom of bezit, kennis, afkomst, leeftijd, gender, handicap, huwelijk, echtscheiding, migratiegeschiedenis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factoren beschrijven, vergelijken, illustreren, toepassen en analyseren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verklaringsmodellen voor sociale stratificatie:</w:t>
            </w:r>
          </w:p>
          <w:p>
            <w:pPr>
              <w:pStyle w:val="ListParagraph"/>
              <w:numPr>
                <w:ilvl w:val="0"/>
                <w:numId w:val="64"/>
              </w:numPr>
            </w:pPr>
            <w:r>
              <w:rPr/>
              <w:t xml:space="preserve">Marx</w:t>
            </w:r>
          </w:p>
          <w:p>
            <w:pPr>
              <w:pStyle w:val="ListParagraph"/>
              <w:numPr>
                <w:ilvl w:val="0"/>
                <w:numId w:val="64"/>
              </w:numPr>
            </w:pPr>
            <w:r>
              <w:rPr/>
              <w:t xml:space="preserve">Weber</w:t>
            </w:r>
          </w:p>
          <w:p>
            <w:pPr>
              <w:pStyle w:val="ListParagraph"/>
              <w:numPr>
                <w:ilvl w:val="0"/>
                <w:numId w:val="64"/>
              </w:numPr>
            </w:pPr>
            <w:r>
              <w:rPr/>
              <w:t xml:space="preserve">functionalisme volgens Davis en Moore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verklaringen beschrijven, vergelijken, illustreren, toepassen en beoordelen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3.3 Gevolgen van sociale stratificatie</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gevolgen:</w:t>
            </w:r>
          </w:p>
          <w:p>
            <w:pPr>
              <w:pStyle w:val="ListParagraph"/>
              <w:numPr>
                <w:ilvl w:val="0"/>
                <w:numId w:val="65"/>
              </w:numPr>
            </w:pPr>
            <w:r>
              <w:rPr/>
              <w:t xml:space="preserve">sociale mobiliteit</w:t>
            </w:r>
          </w:p>
          <w:p>
            <w:pPr>
              <w:pStyle w:val="ListParagraph"/>
              <w:numPr>
                <w:ilvl w:val="0"/>
                <w:numId w:val="65"/>
              </w:numPr>
            </w:pPr>
            <w:r>
              <w:rPr/>
              <w:t xml:space="preserve">gelijke kansen</w:t>
            </w:r>
          </w:p>
          <w:p>
            <w:pPr>
              <w:pStyle w:val="ListParagraph"/>
              <w:numPr>
                <w:ilvl w:val="0"/>
                <w:numId w:val="65"/>
              </w:numPr>
            </w:pPr>
            <w:r>
              <w:rPr/>
              <w:t xml:space="preserve">maatschappelijke breuklijnen</w:t>
            </w:r>
          </w:p>
          <w:p>
            <w:pPr>
              <w:pStyle w:val="ListParagraph"/>
              <w:numPr>
                <w:ilvl w:val="0"/>
                <w:numId w:val="65"/>
              </w:numPr>
            </w:pPr>
            <w:r>
              <w:rPr/>
              <w:t xml:space="preserve">actieve participatie</w:t>
            </w:r>
          </w:p>
          <w:p>
            <w:pPr>
              <w:pStyle w:val="ListParagraph"/>
              <w:numPr>
                <w:ilvl w:val="0"/>
                <w:numId w:val="65"/>
              </w:numPr>
            </w:pPr>
            <w:r>
              <w:rPr/>
              <w:t xml:space="preserve">machtsstructuren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gevolgen beschrijven, illustreren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maatschappelijke breuklijnen:</w:t>
            </w:r>
          </w:p>
          <w:p>
            <w:pPr>
              <w:pStyle w:val="ListParagraph"/>
              <w:numPr>
                <w:ilvl w:val="0"/>
                <w:numId w:val="66"/>
              </w:numPr>
            </w:pPr>
            <w:r>
              <w:rPr/>
              <w:t xml:space="preserve">socio-economisch</w:t>
            </w:r>
          </w:p>
          <w:p>
            <w:pPr>
              <w:pStyle w:val="ListParagraph"/>
              <w:numPr>
                <w:ilvl w:val="0"/>
                <w:numId w:val="66"/>
              </w:numPr>
            </w:pPr>
            <w:r>
              <w:rPr/>
              <w:t xml:space="preserve">levensbeschouwelijk</w:t>
            </w:r>
          </w:p>
          <w:p>
            <w:pPr>
              <w:pStyle w:val="ListParagraph"/>
              <w:numPr>
                <w:ilvl w:val="0"/>
                <w:numId w:val="66"/>
              </w:numPr>
            </w:pPr>
            <w:r>
              <w:rPr/>
              <w:t xml:space="preserve">communautair</w:t>
            </w:r>
          </w:p>
          <w:p>
            <w:pPr>
              <w:pStyle w:val="ListParagraph"/>
              <w:numPr>
                <w:ilvl w:val="0"/>
                <w:numId w:val="66"/>
              </w:numPr>
            </w:pPr>
            <w:r>
              <w:rPr/>
              <w:t xml:space="preserve">kennis</w:t>
            </w:r>
          </w:p>
          <w:p>
            <w:pPr>
              <w:pStyle w:val="ListParagraph"/>
              <w:numPr>
                <w:ilvl w:val="0"/>
                <w:numId w:val="66"/>
              </w:numPr>
            </w:pPr>
            <w:r>
              <w:rPr/>
              <w:t xml:space="preserve">migratie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breuklijnen beschrijven, illustreren, verklaren en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3.4 Evolutie van sociale stratificatie</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evolutie van sociale stratificatie binnen de westerse samenleving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evolutie beschrijven, vergelijken, illustreren, toepassen en analyseren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3.5 Sociale mobiliteit</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vormen van sociale mobiliteit:</w:t>
            </w:r>
          </w:p>
          <w:p>
            <w:pPr>
              <w:pStyle w:val="ListParagraph"/>
              <w:numPr>
                <w:ilvl w:val="0"/>
                <w:numId w:val="67"/>
              </w:numPr>
            </w:pPr>
            <w:r>
              <w:rPr/>
              <w:t xml:space="preserve">horizontale en verticale mobiliteit</w:t>
            </w:r>
          </w:p>
          <w:p>
            <w:pPr>
              <w:pStyle w:val="ListParagraph"/>
              <w:numPr>
                <w:ilvl w:val="0"/>
                <w:numId w:val="67"/>
              </w:numPr>
            </w:pPr>
            <w:r>
              <w:rPr/>
              <w:t xml:space="preserve">intragenerationele en intergenerationele mobiliteit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vormen benoemen, vergelijken, illustreren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sociale mobiliteit doorheen de tijd en binnen verschillende culturen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beschrijven, vergelijken, illustreren en verklaren hoe sociale mobiliteit kan variëren naargelang tijd en cultuur</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4 Wisselwerking: macht</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In dit onderdeel worden verschillende strategieën besproken om macht op te bouwen en uit te oefenen.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begrip: macht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benoemen, illustreren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strategieën om macht op te bouwen:</w:t>
            </w:r>
          </w:p>
          <w:p>
            <w:pPr>
              <w:pStyle w:val="ListParagraph"/>
              <w:numPr>
                <w:ilvl w:val="0"/>
                <w:numId w:val="68"/>
              </w:numPr>
            </w:pPr>
            <w:r>
              <w:rPr/>
              <w:t xml:space="preserve">macht ruilen</w:t>
            </w:r>
          </w:p>
          <w:p>
            <w:pPr>
              <w:pStyle w:val="ListParagraph"/>
              <w:numPr>
                <w:ilvl w:val="0"/>
                <w:numId w:val="68"/>
              </w:numPr>
            </w:pPr>
            <w:r>
              <w:rPr/>
              <w:t xml:space="preserve">machtsbronnen verwerven</w:t>
            </w:r>
          </w:p>
          <w:p>
            <w:pPr>
              <w:pStyle w:val="ListParagraph"/>
              <w:numPr>
                <w:ilvl w:val="0"/>
                <w:numId w:val="68"/>
              </w:numPr>
            </w:pPr>
            <w:r>
              <w:rPr/>
              <w:t xml:space="preserve">afhankelijkheid van de andere partij vergroten</w:t>
            </w:r>
          </w:p>
          <w:p>
            <w:pPr>
              <w:pStyle w:val="ListParagraph"/>
              <w:numPr>
                <w:ilvl w:val="0"/>
                <w:numId w:val="68"/>
              </w:numPr>
            </w:pPr>
            <w:r>
              <w:rPr/>
              <w:t xml:space="preserve">chaos scheppen</w:t>
            </w:r>
          </w:p>
          <w:p>
            <w:pPr>
              <w:pStyle w:val="ListParagraph"/>
              <w:numPr>
                <w:ilvl w:val="0"/>
                <w:numId w:val="68"/>
              </w:numPr>
            </w:pPr>
            <w:r>
              <w:rPr/>
              <w:t xml:space="preserve">steun verwerven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strategieën beschrijven, vergelijken, illustreren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strategieën om macht uit te oefenen:</w:t>
            </w:r>
          </w:p>
          <w:p>
            <w:pPr>
              <w:pStyle w:val="ListParagraph"/>
              <w:numPr>
                <w:ilvl w:val="0"/>
                <w:numId w:val="69"/>
              </w:numPr>
            </w:pPr>
            <w:r>
              <w:rPr/>
              <w:t xml:space="preserve">sancties gebruiken</w:t>
            </w:r>
          </w:p>
          <w:p>
            <w:pPr>
              <w:pStyle w:val="ListParagraph"/>
              <w:numPr>
                <w:ilvl w:val="0"/>
                <w:numId w:val="69"/>
              </w:numPr>
            </w:pPr>
            <w:r>
              <w:rPr/>
              <w:t xml:space="preserve">alternatieven van de andere partij beperken</w:t>
            </w:r>
          </w:p>
          <w:p>
            <w:pPr>
              <w:pStyle w:val="ListParagraph"/>
              <w:numPr>
                <w:ilvl w:val="0"/>
                <w:numId w:val="69"/>
              </w:numPr>
            </w:pPr>
            <w:r>
              <w:rPr/>
              <w:t xml:space="preserve">verdeel en heers</w:t>
            </w:r>
          </w:p>
          <w:p>
            <w:pPr>
              <w:pStyle w:val="ListParagraph"/>
              <w:numPr>
                <w:ilvl w:val="0"/>
                <w:numId w:val="69"/>
              </w:numPr>
            </w:pPr>
            <w:r>
              <w:rPr/>
              <w:t xml:space="preserve">agenda bepalen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strategieën beschrijven, vergelijken, illustreren en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5 Wisselwerking: individueel of collectief belang</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In concrete situaties moet je het onderscheid kunnen maken tussen de verschillende belangen. Je moet je mening geven over concrete voorbeelden van belangenconflicten.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begrippen:</w:t>
            </w:r>
          </w:p>
          <w:p>
            <w:pPr>
              <w:pStyle w:val="ListParagraph"/>
              <w:numPr>
                <w:ilvl w:val="0"/>
                <w:numId w:val="70"/>
              </w:numPr>
            </w:pPr>
            <w:r>
              <w:rPr/>
              <w:t xml:space="preserve">individualisme</w:t>
            </w:r>
          </w:p>
          <w:p>
            <w:pPr>
              <w:pStyle w:val="ListParagraph"/>
              <w:numPr>
                <w:ilvl w:val="0"/>
                <w:numId w:val="70"/>
              </w:numPr>
            </w:pPr>
            <w:r>
              <w:rPr/>
              <w:t xml:space="preserve">solidariteit</w:t>
            </w:r>
          </w:p>
          <w:p>
            <w:pPr>
              <w:pStyle w:val="ListParagraph"/>
              <w:numPr>
                <w:ilvl w:val="0"/>
                <w:numId w:val="70"/>
              </w:numPr>
            </w:pPr>
            <w:r>
              <w:rPr/>
              <w:t xml:space="preserve">collectivisme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benoemen, vergelijken, illustreren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voorbeelden van spanningen tussen individualisme, solidariteit en collectivisme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voorbeelden analyseren en beoordelen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Expressie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1 Begrippen en classificatie</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begrippen:</w:t>
            </w:r>
          </w:p>
          <w:p>
            <w:pPr>
              <w:pStyle w:val="ListParagraph"/>
              <w:numPr>
                <w:ilvl w:val="0"/>
                <w:numId w:val="71"/>
              </w:numPr>
            </w:pPr>
            <w:r>
              <w:rPr/>
              <w:t xml:space="preserve">emotie</w:t>
            </w:r>
          </w:p>
          <w:p>
            <w:pPr>
              <w:pStyle w:val="ListParagraph"/>
              <w:numPr>
                <w:ilvl w:val="0"/>
                <w:numId w:val="71"/>
              </w:numPr>
            </w:pPr>
            <w:r>
              <w:rPr/>
              <w:t xml:space="preserve">stemming</w:t>
            </w:r>
          </w:p>
          <w:p>
            <w:pPr>
              <w:pStyle w:val="ListParagraph"/>
              <w:numPr>
                <w:ilvl w:val="0"/>
                <w:numId w:val="71"/>
              </w:numPr>
            </w:pPr>
            <w:r>
              <w:rPr/>
              <w:t xml:space="preserve">stemmingsstoornis</w:t>
            </w:r>
          </w:p>
          <w:p>
            <w:pPr>
              <w:pStyle w:val="ListParagraph"/>
              <w:numPr>
                <w:ilvl w:val="0"/>
                <w:numId w:val="71"/>
              </w:numPr>
            </w:pPr>
            <w:r>
              <w:rPr/>
              <w:t xml:space="preserve">fysiologie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vergelijken, illustreren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6 basisemoties volgens Ekman</w:t>
              <w:br/>
              <w:t xml:space="preserve"/>
              <w:br/>
              <w:t xml:space="preserve">emotiemodel van Plutchik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modellen beschrijven, vergelijken, illustreren, toepassen en analyseren</w:t>
              <w:br/>
              <w:t xml:space="preserve"/>
              <w:br/>
              <w:t xml:space="preserve">verwante emoties verbinden aan basisemoties</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2 Denken over emoties</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Je moet deze theorieën over de processen bij emoties beschrijven, herkennen en toepassen. Je moet ook een vergelijking kunnen maken van verschillende socio-culturele uitingen.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mentale en fysiologische processen bij emoties:</w:t>
            </w:r>
          </w:p>
          <w:p>
            <w:pPr>
              <w:pStyle w:val="ListParagraph"/>
              <w:numPr>
                <w:ilvl w:val="0"/>
                <w:numId w:val="72"/>
              </w:numPr>
            </w:pPr>
            <w:r>
              <w:rPr/>
              <w:t xml:space="preserve">centrale theorie</w:t>
            </w:r>
          </w:p>
          <w:p>
            <w:pPr>
              <w:pStyle w:val="ListParagraph"/>
              <w:numPr>
                <w:ilvl w:val="0"/>
                <w:numId w:val="72"/>
              </w:numPr>
            </w:pPr>
            <w:r>
              <w:rPr/>
              <w:t xml:space="preserve">perifere theorie</w:t>
            </w:r>
          </w:p>
          <w:p>
            <w:pPr>
              <w:pStyle w:val="ListParagraph"/>
              <w:numPr>
                <w:ilvl w:val="0"/>
                <w:numId w:val="72"/>
              </w:numPr>
            </w:pPr>
            <w:r>
              <w:rPr/>
              <w:t xml:space="preserve">cognitieve theorie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theorieën beschrijven, vergelijken, illustreren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aangeboren en aangeleerde uitingen van emoties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indeling beschrijven, illustreren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voorbeelden van socio-culturele verschillen in uiting van emoties</w:t>
              <w:br/>
              <w:t xml:space="preserve"/>
              <w:br/>
              <w:t xml:space="preserve">bv. rouw, verliefdheid, eerverlies,…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uitingen beschrijven, vergelijken, illustreren, toepassen en analyseren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Onderzoekscompetentie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je oriënteren op een onderzoeksprobleem door gericht informatie</w:t>
            </w:r>
          </w:p>
          <w:p>
            <w:pPr>
              <w:pStyle w:val="ListParagraph"/>
              <w:numPr>
                <w:ilvl w:val="0"/>
                <w:numId w:val="73"/>
              </w:numPr>
            </w:pPr>
            <w:r>
              <w:rPr/>
              <w:t xml:space="preserve">te verzamelen</w:t>
            </w:r>
          </w:p>
          <w:p>
            <w:pPr>
              <w:pStyle w:val="ListParagraph"/>
              <w:numPr>
                <w:ilvl w:val="0"/>
                <w:numId w:val="73"/>
              </w:numPr>
            </w:pPr>
            <w:r>
              <w:rPr/>
              <w:t xml:space="preserve">te ordenen</w:t>
            </w:r>
          </w:p>
          <w:p>
            <w:pPr>
              <w:pStyle w:val="ListParagraph"/>
              <w:numPr>
                <w:ilvl w:val="0"/>
                <w:numId w:val="73"/>
              </w:numPr>
            </w:pPr>
            <w:r>
              <w:rPr/>
              <w:t xml:space="preserve">te bewerken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informatie uit een wetenschappelijke bron </w:t>
            </w:r>
          </w:p>
          <w:p>
            <w:pPr>
              <w:pStyle w:val="ListParagraph"/>
              <w:numPr>
                <w:ilvl w:val="0"/>
                <w:numId w:val="74"/>
              </w:numPr>
            </w:pPr>
            <w:r>
              <w:rPr/>
              <w:t xml:space="preserve">opzoeken</w:t>
            </w:r>
          </w:p>
          <w:p>
            <w:pPr>
              <w:pStyle w:val="ListParagraph"/>
              <w:numPr>
                <w:ilvl w:val="0"/>
                <w:numId w:val="74"/>
              </w:numPr>
            </w:pPr>
            <w:r>
              <w:rPr/>
              <w:t xml:space="preserve">raadplegen</w:t>
            </w:r>
          </w:p>
          <w:p>
            <w:pPr>
              <w:pStyle w:val="ListParagraph"/>
              <w:numPr>
                <w:ilvl w:val="0"/>
                <w:numId w:val="74"/>
              </w:numPr>
            </w:pPr>
            <w:r>
              <w:rPr/>
              <w:t xml:space="preserve">rangschikken</w:t>
            </w:r>
          </w:p>
          <w:p>
            <w:pPr>
              <w:pStyle w:val="ListParagraph"/>
              <w:numPr>
                <w:ilvl w:val="0"/>
                <w:numId w:val="74"/>
              </w:numPr>
            </w:pPr>
            <w:r>
              <w:rPr/>
              <w:t xml:space="preserve">evalueren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een onderzoeksopdracht in verband met het studiedomein</w:t>
            </w:r>
          </w:p>
          <w:p>
            <w:pPr>
              <w:pStyle w:val="ListParagraph"/>
              <w:numPr>
                <w:ilvl w:val="0"/>
                <w:numId w:val="76"/>
              </w:numPr>
            </w:pPr>
            <w:r>
              <w:rPr/>
              <w:t xml:space="preserve">voorbereiden</w:t>
            </w:r>
          </w:p>
          <w:p>
            <w:pPr>
              <w:pStyle w:val="ListParagraph"/>
              <w:numPr>
                <w:ilvl w:val="0"/>
                <w:numId w:val="76"/>
              </w:numPr>
            </w:pPr>
            <w:r>
              <w:rPr/>
              <w:t xml:space="preserve">uitvoeren</w:t>
            </w:r>
          </w:p>
          <w:p>
            <w:pPr>
              <w:pStyle w:val="ListParagraph"/>
              <w:numPr>
                <w:ilvl w:val="0"/>
                <w:numId w:val="76"/>
              </w:numPr>
            </w:pPr>
            <w:r>
              <w:rPr/>
              <w:t xml:space="preserve">evalueren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onderwerp verkennen</w:t>
              <w:br/>
              <w:t xml:space="preserve"/>
              <w:br/>
              <w:t xml:space="preserve">een hoofdvraag (of probleemstelling) en deelvragen formuleren</w:t>
              <w:br/>
              <w:t xml:space="preserve"/>
              <w:br/>
              <w:t xml:space="preserve">een werkplan met onderzoeks- en tijdsplan opmaken</w:t>
              <w:br/>
              <w:t xml:space="preserve"/>
              <w:br/>
              <w:t xml:space="preserve">een werkplan uitvoeren:</w:t>
              <w:br/>
              <w:t xml:space="preserve"/>
              <w:br/>
              <w:t xml:space="preserve">informatie verzamelen in functie van de deelvragen en op basis van verschillende informatiebronnen (bv. literatuur, documenten, databestanden via deskresearch, enquête, interview, waarneming of observatie, (labo)experiment, media);</w:t>
              <w:br/>
              <w:t xml:space="preserve"/>
              <w:br/>
              <w:t xml:space="preserve">informatie beoordelen en verwerken en daaruit een conclusie trekken;</w:t>
              <w:br/>
              <w:t xml:space="preserve"/>
              <w:br/>
              <w:t xml:space="preserve">de onderzoeksresultaten rapporteren door een intellectueel eerlijk, gestructureerd en foutloos onderzoeksverslag  te schrijven volgens de vastgelegde structuur</w:t>
              <w:br/>
              <w:t xml:space="preserve"/>
              <w:br/>
              <w:t xml:space="preserve">een correcte bronvermelding opstellen volgens de regels van de bronvermelding</w:t>
              <w:br/>
              <w:t xml:space="preserve"/>
              <w:br/>
              <w:t xml:space="preserve">je onderzoek evalueren en over je eigen werk en de aanpak van de onderzoeksopdracht reflecteren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onderzoeksresultaten en conclusies rapporteren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onderzoeksverslag opstellen volgens de vastgelegde structuur: titelpagina, voorwoord, inhoudsopgave, samenvatting, inleiding, kerntekst, conclusie, bronnenlijst en bijlage(n)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Bij dit vak maak je een onderzoeksverslag. Je vindt de opdracht hier als bijlage. Open de bijlage apart. </w:t>
        <w:br/>
        <w:t>Maak je opdracht thuis, maak er een pdf van en laad hem ten laatste 7 dagen voor het examen op in het EC-platform. </w:t>
        <w:br/>
        <w:t>Voorbeeld: je hebt op maandag 21 januari examen. Je laadt je verslag ten laatste op maandag 14 januari om 23.59 uur op.</w:t>
        <w:br/>
        <w:t>Let op: er zijn twee bijlagen met instructies. Die van 2019 zijn een beetje anders dan die van 2020. Let dus op dat je de juiste versie gebruikt.</w:t>
        <w:br/>
        <w:t>Voor het verwerken van cijfermateriaal en het aanmaken van grafieken, gebruik je de bijlage “statistiek voor de onderzoeksopdracht”.</w:t>
        <w:br/>
        <w:t>Je onderzoeksverslag moet voldoen aan een aantal criteria. We beoordelen je verslag alleen als het beantwoordt aan alle criteria. Is dat niet het geval, dan corrigeren we het verslag en de antwoorden op de examenvragen over de onderzoekscompetentie niet. Lees de instructies in de vakfiche dus heel goed voor je aan het verslag begint. </w:t>
      </w:r>
      <w:r w:rsidRPr="003E4776">
        <w:t/>
      </w:r>
    </w:p>
    <w:p w14:paraId="5B5E3ED3" w14:textId="0FE7D0D3" w:rsidR="0076163F" w:rsidRDefault="0076163F" w:rsidP="0076163F">
      <w:r w:rsidRPr="003E4776">
        <w:t/>
      </w:r>
      <w:r>
        <w:t>Opdracht onderzoekscompetentie GW 2020.pdf</w:t>
      </w:r>
      <w:r w:rsidRPr="003E4776">
        <w:t/>
      </w:r>
    </w:p>
    <w:p w14:paraId="5B5E3ED3" w14:textId="0FE7D0D3" w:rsidR="0076163F" w:rsidRDefault="0076163F" w:rsidP="0076163F">
      <w:r w:rsidRPr="003E4776">
        <w:t/>
      </w:r>
      <w:r>
        <w:t>Opdracht onderzoekscompetentie GW 2019.pdf</w:t>
      </w:r>
      <w:r w:rsidRPr="003E4776">
        <w:t/>
      </w:r>
    </w:p>
    <w:p w14:paraId="5B5E3ED3" w14:textId="0FE7D0D3" w:rsidR="0076163F" w:rsidRDefault="0076163F" w:rsidP="0076163F">
      <w:r w:rsidRPr="003E4776">
        <w:t/>
      </w:r>
      <w:r>
        <w:t>Bijlage statistiek voor de onderzoeksopdracht.pdf</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499D1B0A" w14:textId="79267327" w:rsidR="0076163F" w:rsidRDefault="0076163F" w:rsidP="0076163F">
      <w:r w:rsidRPr="003E4776">
        <w:t/>
      </w:r>
      <w:r>
        <w:t>Beoordelingswijzer meningsvraag.pdf</w:t>
      </w:r>
      <w:r w:rsidRPr="003E4776">
        <w:t/>
      </w:r>
    </w:p>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w:t>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Je krijgt van ons een balpen en kladpapier.</w:t>
      </w:r>
    </w:p>
    <w:p>
      <w:pPr>
        <w:jc w:val="both"/>
      </w:pPr>
      <w:r>
        <w:t xml:space="preserve">Je kan het verslag van je onderzoek digitaal raadplegen zolang je aan de vragen van de component onderzoekscompetentie werkt. Als je die component afsluit, is het verslag van je onderzoek niet langer zichtbaar.</w:t>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examen bestaat uit gesloten en open vragen. Er zijn verschillende vraagtypes: invulvragen, sorteervragen, meerkeuzevragen. Elk vraagtype heeft zijn eigen instructiezin, die duidelijk aangeeft wat je precies moet doen. Bij open vragen antwoord je zo precies mogelijk op de vraag. Je kan de verschillende vraagtypes vooraf inoefenen. Op de website vind je een oefenexamen, waarin je ze kan uitproberen. Uiteraard is dit geen echt examen: de bedoeling is dat je de techniek van de digitale vraagtypes in de vingers krijgt.</w:t>
      </w:r>
      <w:r w:rsidR="0060243A">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Het examen gedragswetenschappen 3 aso is een digitaal examen. </w:t>
      </w:r>
    </w:p>
    <w:p>
      <w:pPr>
        <w:jc w:val="both"/>
      </w:pPr>
      <w:r>
        <w:t xml:space="preserve"/>
      </w:r>
    </w:p>
    <w:p>
      <w:pPr>
        <w:jc w:val="both"/>
      </w:pPr>
      <w:r>
        <w:t xml:space="preserve">Het examen begint met het deel over de onderzoekscompetentie. Je mag je onderzoeksverslag gebruiken bij het oplossen van de vragen. Als je klaar bent met het onderdeel, dan geef je je kladbladen af aan de toezichter en vraag je de inloggegevens voor het tweede deel van je examen. Je sluit dit deel definitief af en kan er niet meer naar terugkeren.  </w:t>
      </w:r>
    </w:p>
    <w:p>
      <w:pPr>
        <w:jc w:val="both"/>
      </w:pPr>
      <w:r>
        <w:t xml:space="preserve"> </w:t>
      </w:r>
    </w:p>
    <w:p>
      <w:pPr>
        <w:jc w:val="both"/>
      </w:pPr>
      <w:r>
        <w:t xml:space="preserve">Heb je vooraf geen onderzoeksverslag opgeladen in het EC-platform, dan begin je meteen met deel twee van je examen. </w:t>
      </w:r>
    </w:p>
    <w:p>
      <w:pPr>
        <w:jc w:val="both"/>
      </w:pPr>
      <w:r>
        <w:t xml:space="preserve">Verdeel je tijd efficiënt over de verschillende onderdelen van het examen. We verwachten dat je niet langer dan 30 minuten moet werken aan het deel over de onderzoekscompetentie. </w:t>
      </w:r>
    </w:p>
    <w:p>
      <w:pPr>
        <w:jc w:val="both"/>
      </w:pPr>
      <w:r>
        <w:t xml:space="preserve"> </w:t>
      </w:r>
    </w:p>
    <w:p>
      <w:pPr>
        <w:jc w:val="both"/>
      </w:pPr>
      <w:r>
        <w:t xml:space="preserve">Lees meer over digitale examens en bekijk voorbeeldvragen op http://examencommissiesecundaironderwijs.be/examens</w:t>
      </w:r>
    </w:p>
    <w:p>
      <w:pPr>
        <w:jc w:val="both"/>
      </w:pPr>
      <w:r>
        <w:t xml:space="preserve"/>
      </w:r>
    </w:p>
    <w:p>
      <w:pPr>
        <w:jc w:val="both"/>
      </w:pPr>
      <w:r>
        <w:t xml:space="preserve"/>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Voor de gesloten vragen:  </w:t>
      </w:r>
    </w:p>
    <w:p>
      <w:pPr>
        <w:jc w:val="both"/>
      </w:pPr>
      <w:r>
        <w:t xml:space="preserve">1. moet je het juiste antwoord aanduiden om punten te scoren;</w:t>
      </w:r>
    </w:p>
    <w:p>
      <w:pPr>
        <w:jc w:val="both"/>
      </w:pPr>
      <w:r>
        <w:t xml:space="preserve">2. kan je bij sommige vragen ook punten krijgen voor een gedeeltelijk juist antwoord;</w:t>
      </w:r>
    </w:p>
    <w:p>
      <w:pPr>
        <w:jc w:val="both"/>
      </w:pPr>
      <w:r>
        <w:t xml:space="preserve">3. is er geen giscorrectie.</w:t>
      </w:r>
    </w:p>
    <w:p>
      <w:pPr>
        <w:jc w:val="both"/>
      </w:pPr>
      <w:r>
        <w:t xml:space="preserve"/>
      </w:r>
    </w:p>
    <w:p>
      <w:pPr>
        <w:jc w:val="both"/>
      </w:pPr>
      <w:r>
        <w:t xml:space="preserve">Voor open vragen bekijken de correctoren of je antwoord</w:t>
      </w:r>
    </w:p>
    <w:p>
      <w:pPr>
        <w:jc w:val="both"/>
      </w:pPr>
      <w:r>
        <w:t xml:space="preserve">1. de juiste begrippen bevat;</w:t>
      </w:r>
    </w:p>
    <w:p>
      <w:pPr>
        <w:jc w:val="both"/>
      </w:pPr>
      <w:r>
        <w:t xml:space="preserve">2. ondubbelzinnig is en de juiste inhoud bevat;</w:t>
      </w:r>
    </w:p>
    <w:p>
      <w:pPr>
        <w:jc w:val="both"/>
      </w:pPr>
      <w:r>
        <w:t xml:space="preserve">3. duidelijk gestructureerd is.</w:t>
      </w:r>
    </w:p>
    <w:p>
      <w:pPr>
        <w:jc w:val="both"/>
      </w:pPr>
      <w:r>
        <w:t xml:space="preserve"/>
      </w:r>
    </w:p>
    <w:p>
      <w:pPr>
        <w:jc w:val="both"/>
      </w:pPr>
      <w:r>
        <w:t xml:space="preserve">Wij houden geen rekening met taalfouten.</w:t>
      </w:r>
    </w:p>
    <w:p>
      <w:pPr>
        <w:jc w:val="both"/>
      </w:pPr>
      <w:r>
        <w:t xml:space="preserve"/>
      </w:r>
    </w:p>
    <w:p>
      <w:pPr>
        <w:jc w:val="both"/>
      </w:pPr>
      <w:r>
        <w:t xml:space="preserve">Als je geen verslag van je onderzoeksopdracht hebt opgeladen, dan krijg je geen punten voor de component onderzoekscompetentie. </w:t>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Interactie en communicatie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Denken over mens en samenleving</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35%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Organisatie en wisselwerking</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Expressie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Onderzoekscompetentie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10%</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biedt geen leermiddelen aan. Je kan boeken of cursussen kopen in een (online of tweedehands-) boekhandel of ontlenen in een bibliotheek. De bibliotheken van de lerarenopleiding aan de universiteit of de hogeschool bieden heel wat leermiddelen aan in hun collectie. </w:t>
        <w:br/>
        <w:t xml:space="preserve"/>
        <w:br/>
        <w:t xml:space="preserve">Bij elke nieuwe editie van de vakfiche actualiseren we deze bibliografie. Toch is het best mogelijk dat bepaalde werken niet meer verkrijgbaar zijn of dat nieuwe werken die al op de markt zijn nog niet zijn opgenomen. </w:t>
        <w:br/>
        <w:t xml:space="preserve"/>
        <w:br/>
        <w:t xml:space="preserve">We maken bewust een selectie van leermiddelen die ons op dit ogenblik het meest aangewezen lijken om je voor te bereiden op onze examens. Zo willen we je helpen om je studie efficiënter aan te pakken. Je kan echter ook andere werken, cursussen of audiovisuele middelen gebruiken bij je voorbereiding op het examen. </w:t>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Code Gedragswetenschappen (GO &amp; VO)</w:t>
              <w:br/>
              <w:t xml:space="preserve"/>
              <w:br/>
              <w:t xml:space="preserve">Sociologie. Deel 1 &amp; 2</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De Boeck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Leef! Gedrag</w:t>
              <w:br/>
              <w:t xml:space="preserve"/>
              <w:br/>
              <w:t xml:space="preserve">Humane wetenschappen Gedrag</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Plantyn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www.plantyn.com</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Socius Gedragswetenschappen</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Averbode</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www.averbode.be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Stapstenen. Onderzoek stap voor stap</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Plantyn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www.plantyn.com</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O Zo! Onderzoeken doe je zo</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De Boeck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Mijn masterplan. Hoofdstuk 6: de researchafdeling. Een onderzoeksopdracht uitwerken.</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Averbode</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www.averbode.be</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AA79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8">
    <w:nsid w:val="0CAA79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9">
    <w:nsid w:val="0CAA79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0">
    <w:nsid w:val="0CAA7911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1">
    <w:nsid w:val="0CAA7911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2">
    <w:nsid w:val="0CAA7911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3">
    <w:nsid w:val="0CAA7911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4">
    <w:nsid w:val="0CAA7911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5">
    <w:nsid w:val="0CAA7911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6">
    <w:nsid w:val="0CAA7911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7">
    <w:nsid w:val="0CAA791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8">
    <w:nsid w:val="0CAA791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9">
    <w:nsid w:val="0CAA791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0">
    <w:nsid w:val="0CAA7912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1">
    <w:nsid w:val="0CAA7912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2">
    <w:nsid w:val="0CAA7912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3">
    <w:nsid w:val="0CAA7912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4">
    <w:nsid w:val="0CAA7912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5">
    <w:nsid w:val="0CAA7912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6">
    <w:nsid w:val="0CAA7912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7">
    <w:nsid w:val="0CAA7912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8">
    <w:nsid w:val="0CAA7912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9">
    <w:nsid w:val="0CAA7912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0">
    <w:nsid w:val="0CAA7913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1">
    <w:nsid w:val="0CAA7913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2">
    <w:nsid w:val="0CAA7913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3">
    <w:nsid w:val="0CAA7913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4">
    <w:nsid w:val="0CAA7913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5">
    <w:nsid w:val="0CAA7913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6">
    <w:nsid w:val="0CAA7913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7">
    <w:nsid w:val="0CAA7913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8">
    <w:nsid w:val="0CAA7913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9">
    <w:nsid w:val="0CAA7913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0">
    <w:nsid w:val="0CAA7914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1">
    <w:nsid w:val="0CAA7914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2">
    <w:nsid w:val="0CAA7914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3">
    <w:nsid w:val="0CAA7914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4">
    <w:nsid w:val="0CAA7914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5">
    <w:nsid w:val="0CAA7914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6">
    <w:nsid w:val="0CAA7914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7">
    <w:nsid w:val="0CAA7914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8">
    <w:nsid w:val="0CAA7914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9">
    <w:nsid w:val="0CAA7914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50">
    <w:nsid w:val="0CAA7915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51">
    <w:nsid w:val="0CAA7915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52">
    <w:nsid w:val="0CAA7915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53">
    <w:nsid w:val="0CAA7915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54">
    <w:nsid w:val="0CAA7915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55">
    <w:nsid w:val="0CAA7915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56">
    <w:nsid w:val="0CAA7915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57">
    <w:nsid w:val="0CAA7915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58">
    <w:nsid w:val="0CAA7915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59">
    <w:nsid w:val="0CAA7915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60">
    <w:nsid w:val="0CAA7916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61">
    <w:nsid w:val="0CAA7916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62">
    <w:nsid w:val="0CAA7916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63">
    <w:nsid w:val="0CAA7916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64">
    <w:nsid w:val="0CAA7916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65">
    <w:nsid w:val="0CAA7916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66">
    <w:nsid w:val="0CAA7916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67">
    <w:nsid w:val="0CAA7916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68">
    <w:nsid w:val="0CAA7916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69">
    <w:nsid w:val="0CAA7916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70">
    <w:nsid w:val="0CAA7917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71">
    <w:nsid w:val="0CAA7917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72">
    <w:nsid w:val="0CAA7917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73">
    <w:nsid w:val="0CAA7917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74">
    <w:nsid w:val="0CAA7917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75">
    <w:nsid w:val="0CAA7917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