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 (geldig tot 31-12-2024)</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