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 2de graad en 2007/064 deel A 3de graad</w:t>
        <w:br/>
        <w:t>OVSG O/2/2008/141 deel 6.2 2de graad en O/2/2009/313 deel 6.2.1.6 3de graad</w:t>
        <w:br/>
        <w:t>VVKSO D/2005/0279/015 deel 2 2de graad en D/2011/7841/008 3de graad</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passiefzijde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jaarrekening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worden de leerinhouden van de tweede graad vooral verdiept. Enkele posten van de actief- en passiefzijde leer je dan grondiger kennen.</w:t>
      </w:r>
    </w:p>
    <w:p>
      <w:r>
        <w:rPr/>
        <w:t xml:space="preserve">Bovendien wordt het belang van de jaarrekening benadrukt.</w:t>
      </w:r>
    </w:p>
    <w:p>
      <w:r>
        <w:rPr/>
        <w:t xml:space="preserve"> </w:t>
      </w:r>
    </w:p>
    <w:p>
      <w:r>
        <w:rPr/>
        <w:t xml:space="preserve">In de volgende tabellen vind je wat je voor elke leerinhoud moet </w:t>
      </w:r>
      <w:r>
        <w:rPr>
          <w:b/>
        </w:rPr>
        <w:t xml:space="preserve">kennen </w:t>
      </w:r>
      <w:r>
        <w:rPr/>
        <w:t xml:space="preserve">en </w:t>
      </w:r>
      <w:r>
        <w:rPr>
          <w:b/>
        </w:rPr>
        <w:t xml:space="preserve">kunnen </w:t>
      </w:r>
      <w:r>
        <w:rPr/>
        <w:t xml:space="preserve">op het examen.</w:t>
      </w:r>
    </w:p>
    <w:p>
      <w:r>
        <w:rPr/>
        <w:t xml:space="preserve">Verderop vind je concrete leermiddelen en tips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9"/>
        </w:numPr>
      </w:pPr>
      <w:r>
        <w:rPr/>
        <w:t xml:space="preserve">details opmerken</w:t>
      </w:r>
    </w:p>
    <w:p>
      <w:pPr>
        <w:pStyle w:val="ListParagraph"/>
        <w:numPr>
          <w:ilvl w:val="0"/>
          <w:numId w:val="9"/>
        </w:numPr>
      </w:pPr>
      <w:r>
        <w:rPr/>
        <w:t xml:space="preserve">nauwkeurig rekenen</w:t>
      </w:r>
    </w:p>
    <w:p>
      <w:pPr>
        <w:pStyle w:val="ListParagraph"/>
        <w:numPr>
          <w:ilvl w:val="0"/>
          <w:numId w:val="9"/>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0"/>
        </w:numPr>
      </w:pPr>
      <w:r>
        <w:rPr/>
        <w:t xml:space="preserve">een boekhoudalgoritme,</w:t>
      </w:r>
    </w:p>
    <w:p>
      <w:pPr>
        <w:pStyle w:val="ListParagraph"/>
        <w:numPr>
          <w:ilvl w:val="0"/>
          <w:numId w:val="10"/>
        </w:numPr>
      </w:pPr>
      <w:r>
        <w:rPr/>
        <w:t xml:space="preserve">het grootboek of</w:t>
      </w:r>
    </w:p>
    <w:p>
      <w:pPr>
        <w:pStyle w:val="ListParagraph"/>
        <w:numPr>
          <w:ilvl w:val="0"/>
          <w:numId w:val="10"/>
        </w:numPr>
      </w:pPr>
      <w:r>
        <w:rPr/>
        <w:t xml:space="preserve">het journaal</w:t>
      </w:r>
    </w:p>
    <w:p>
      <w:r>
        <w:rPr/>
        <w:t xml:space="preserve"> </w:t>
      </w:r>
    </w:p>
    <w:p>
      <w:r>
        <w:rPr/>
        <w:t xml:space="preserve">2.      Voor de btw gebruiken we de volgende rekeningen:</w:t>
      </w:r>
    </w:p>
    <w:p>
      <w:pPr>
        <w:pStyle w:val="ListParagraph"/>
        <w:numPr>
          <w:ilvl w:val="0"/>
          <w:numId w:val="11"/>
        </w:numPr>
      </w:pPr>
      <w:r>
        <w:rPr/>
        <w:t xml:space="preserve">tijdens de boekingsperiode:</w:t>
      </w:r>
    </w:p>
    <w:p>
      <w:pPr>
        <w:pStyle w:val="ListParagraph"/>
        <w:numPr>
          <w:ilvl w:val="1"/>
          <w:numId w:val="11"/>
        </w:numPr>
      </w:pPr>
      <w:r>
        <w:rPr/>
        <w:t xml:space="preserve">bij een aankoopfactuur:                         41110</w:t>
      </w:r>
    </w:p>
    <w:p>
      <w:pPr>
        <w:pStyle w:val="ListParagraph"/>
        <w:numPr>
          <w:ilvl w:val="1"/>
          <w:numId w:val="11"/>
        </w:numPr>
      </w:pPr>
      <w:r>
        <w:rPr/>
        <w:t xml:space="preserve">bij een verkoopfactuur:                          45110</w:t>
      </w:r>
    </w:p>
    <w:p>
      <w:pPr>
        <w:pStyle w:val="ListParagraph"/>
        <w:numPr>
          <w:ilvl w:val="1"/>
          <w:numId w:val="11"/>
        </w:numPr>
      </w:pPr>
      <w:r>
        <w:rPr/>
        <w:t xml:space="preserve">bij een inkomende creditnota:              45120</w:t>
      </w:r>
    </w:p>
    <w:p>
      <w:pPr>
        <w:pStyle w:val="ListParagraph"/>
        <w:numPr>
          <w:ilvl w:val="1"/>
          <w:numId w:val="11"/>
        </w:numPr>
      </w:pPr>
      <w:r>
        <w:rPr/>
        <w:t xml:space="preserve">bij een uitgaande creditnota:                41120</w:t>
      </w:r>
    </w:p>
    <w:p>
      <w:pPr>
        <w:pStyle w:val="ListParagraph"/>
        <w:numPr>
          <w:ilvl w:val="0"/>
          <w:numId w:val="11"/>
        </w:numPr>
      </w:pPr>
      <w:r>
        <w:rPr/>
        <w:t xml:space="preserve">bij de btw-afrekening, één keer per kwartaal of per maand, voor de overboeking van het saldo:</w:t>
      </w:r>
    </w:p>
    <w:p>
      <w:pPr>
        <w:pStyle w:val="ListParagraph"/>
        <w:numPr>
          <w:ilvl w:val="1"/>
          <w:numId w:val="11"/>
        </w:numPr>
      </w:pPr>
      <w:r>
        <w:rPr/>
        <w:t xml:space="preserve">bij een vordering op de overheid:         41100</w:t>
      </w:r>
    </w:p>
    <w:p>
      <w:pPr>
        <w:pStyle w:val="ListParagraph"/>
        <w:numPr>
          <w:ilvl w:val="1"/>
          <w:numId w:val="11"/>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2"/>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De meeste kandidaten in de derde graad Handel zullen instromen vanuit de studierichting Handel of Handel-Talen.</w:t>
        <w:br/>
        <w:t xml:space="preserve">Voor deze kandidaten sluit deze vakfiche naadloos aan bij de leerinhouden van de tweede graad.</w:t>
      </w:r>
    </w:p>
    <w:p>
      <w:r>
        <w:rPr/>
        <w:t xml:space="preserve">De kandidaten die instromen vanuit een aso-richting met Economie hebben een meer theoretische bagage. Mits een grondige opfrissing van de basisprincipes van boekhouden, kunnen zij gemakkelijk de leerinhouden van de derde graad tso verwerken.</w:t>
      </w:r>
    </w:p>
    <w:p>
      <w:r>
        <w:rPr/>
        <w:t xml:space="preserve">De kandidaten die echter afkomstig zijn uit niet-economische richtingen wordt aanbevolen zich eerst de leerinhouden uit de vakfiche van Boekhouden tweede graad Handel-Talen eigen te maken om zich dan te verdiepen in de leerinhouden van de 3de graad Handel.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br/>
              <w:t xml:space="preserve"/>
              <w:br/>
              <w:t xml:space="preserve">fouten in de boekhouding opzoeken en corrigeren aan de hand van de proef- en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resultaat berekenen</w:t>
              <w:br/>
              <w:t xml:space="preserve"/>
              <w:br/>
              <w:t xml:space="preserve">de resultaten groeperen in</w:t>
              <w:br/>
              <w:t xml:space="preserve"/>
              <w:br/>
              <w:t xml:space="preserve"/>
            </w:r>
          </w:p>
          <w:p>
            <w:pPr>
              <w:pStyle w:val="ListParagraph"/>
              <w:numPr>
                <w:ilvl w:val="0"/>
                <w:numId w:val="14"/>
              </w:numPr>
            </w:pPr>
            <w:r>
              <w:rPr/>
              <w:t xml:space="preserve">bedrijfsresultaten</w:t>
            </w:r>
          </w:p>
          <w:p>
            <w:pPr>
              <w:pStyle w:val="ListParagraph"/>
              <w:numPr>
                <w:ilvl w:val="0"/>
                <w:numId w:val="14"/>
              </w:numPr>
            </w:pPr>
            <w:r>
              <w:rPr/>
              <w:t xml:space="preserve">financiële resultaten</w:t>
            </w:r>
          </w:p>
          <w:p>
            <w:r>
              <w:rPr/>
              <w:t xml:space="preserve"> </w:t>
              <w:br/>
              <w:t xml:space="preserve"/>
              <w:br/>
              <w:t xml:space="preserve">het begrip resultatenrekening definiëren</w:t>
              <w:br/>
              <w:t xml:space="preserve"/>
              <w:br/>
              <w:t xml:space="preserve">de boekingsregels voor resultatenrekeningen definiëren</w:t>
              <w:br/>
              <w:t xml:space="preserve"/>
              <w:br/>
              <w:t xml:space="preserve">de boekingsregels voor resultatenrekeningen toepassen</w:t>
              <w:br/>
              <w:t xml:space="preserve"/>
              <w:br/>
              <w:t xml:space="preserve">resultatenrekeningen in het MAR situeren</w:t>
              <w:br/>
              <w:t xml:space="preserve"/>
              <w:br/>
              <w:t xml:space="preserve">het onderscheid tussen kosten en uitgaven enerzijds en tussen opbrengsten en inkomsten anderzijds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een aankoopfactuur inclusief btw (1 of meerdere btw-tarieven) met of zonder kortingen, kosten en terugstuurbare verpakking registreren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br/>
              <w:t xml:space="preserve"/>
              <w:br/>
              <w:t xml:space="preserve">winkelverkopen registreren</w:t>
              <w:br/>
              <w:t xml:space="preserve"/>
              <w:br/>
              <w:t xml:space="preserve">een verkoopfactuur inclusief btw (1 of meer btw-tarieven) met en zonder kortingen, kosten en terugstuurbare verpakking registreren</w:t>
              <w:br/>
              <w:t xml:space="preserve"/>
              <w:br/>
              <w:t xml:space="preserve">een diverse opbrengst uit verkoop zoals huuropbrengsten registreren</w:t>
              <w:br/>
              <w:t xml:space="preserve"/>
              <w:br/>
              <w:t xml:space="preserve">een verkoopfactuur voor de verkoop van materiële vaste activa registreren met behulp van de rekening 70600 Verkopen vaste activa</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verrichtingen met het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 verband met buitenlandse handel verklaren:</w:t>
            </w:r>
          </w:p>
          <w:p>
            <w:pPr>
              <w:pStyle w:val="ListParagraph"/>
              <w:numPr>
                <w:ilvl w:val="0"/>
                <w:numId w:val="16"/>
              </w:numPr>
            </w:pPr>
            <w:r>
              <w:rPr/>
              <w:t xml:space="preserve">intracommunautaire verwerving</w:t>
            </w:r>
          </w:p>
          <w:p>
            <w:pPr>
              <w:pStyle w:val="ListParagraph"/>
              <w:numPr>
                <w:ilvl w:val="0"/>
                <w:numId w:val="16"/>
              </w:numPr>
            </w:pPr>
            <w:r>
              <w:rPr/>
              <w:t xml:space="preserve">intracommunautaire levering</w:t>
            </w:r>
          </w:p>
          <w:p>
            <w:pPr>
              <w:pStyle w:val="ListParagraph"/>
              <w:numPr>
                <w:ilvl w:val="0"/>
                <w:numId w:val="16"/>
              </w:numPr>
            </w:pPr>
            <w:r>
              <w:rPr/>
              <w:t xml:space="preserve">invoer</w:t>
            </w:r>
          </w:p>
          <w:p>
            <w:pPr>
              <w:pStyle w:val="ListParagraph"/>
              <w:numPr>
                <w:ilvl w:val="0"/>
                <w:numId w:val="16"/>
              </w:numPr>
            </w:pPr>
            <w:r>
              <w:rPr/>
              <w:t xml:space="preserve">uitvoer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intracommunautaire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uit andere EU-lidstaten registreren</w:t>
              <w:br/>
              <w:t xml:space="preserve"/>
              <w:br/>
              <w:t xml:space="preserve">verkoopfacturen en creditnota’s aan klanten uit  andere EU-lidstaten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en uitvoer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buiten de EU registreren, rekening houdend met de plaats waar de btw bij invoer werd voldaan:</w:t>
              <w:br/>
              <w:t xml:space="preserve"/>
              <w:br/>
              <w:t xml:space="preserve"/>
            </w:r>
          </w:p>
          <w:p>
            <w:pPr>
              <w:pStyle w:val="ListParagraph"/>
              <w:numPr>
                <w:ilvl w:val="0"/>
                <w:numId w:val="17"/>
              </w:numPr>
            </w:pPr>
            <w:r>
              <w:rPr/>
              <w:t xml:space="preserve">contant aan de grens of</w:t>
            </w:r>
          </w:p>
          <w:p>
            <w:pPr>
              <w:pStyle w:val="ListParagraph"/>
              <w:numPr>
                <w:ilvl w:val="0"/>
                <w:numId w:val="17"/>
              </w:numPr>
            </w:pPr>
            <w:r>
              <w:rPr/>
              <w:t xml:space="preserve">met verlegging via de btw-aangifte</w:t>
            </w:r>
          </w:p>
          <w:p>
            <w:r>
              <w:rPr/>
              <w:t xml:space="preserve"> </w:t>
              <w:br/>
              <w:t xml:space="preserve"/>
              <w:br/>
              <w:t xml:space="preserve">verkoopfacturen en creditnota’s aan klanten buiten de EU registreren</w:t>
              <w:br/>
              <w:t xml:space="preserve"/>
              <w:br/>
              <w:t xml:space="preserve">er worden geen boekingen in vreemde munten gevraagd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van uiteenlopende schulden registreren</w:t>
              <w:br/>
              <w:t xml:space="preserve"/>
              <w:br/>
              <w:t xml:space="preserve">inningen van uiteenlopende vorderingen registreren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loonkost en loonstaat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8"/>
              </w:numPr>
            </w:pPr>
            <w:r>
              <w:rPr/>
              <w:t xml:space="preserve">het bruto- en nettoloon of-salaris</w:t>
            </w:r>
          </w:p>
          <w:p>
            <w:pPr>
              <w:pStyle w:val="ListParagraph"/>
              <w:numPr>
                <w:ilvl w:val="0"/>
                <w:numId w:val="18"/>
              </w:numPr>
            </w:pPr>
            <w:r>
              <w:rPr/>
              <w:t xml:space="preserve">de werkgevers- en werknemersbijdrage rsz</w:t>
            </w:r>
          </w:p>
          <w:p>
            <w:pPr>
              <w:pStyle w:val="ListParagraph"/>
              <w:numPr>
                <w:ilvl w:val="0"/>
                <w:numId w:val="18"/>
              </w:numPr>
            </w:pPr>
            <w:r>
              <w:rPr/>
              <w:t xml:space="preserve">de bedrijfsvoorheffing</w:t>
            </w:r>
          </w:p>
          <w:p>
            <w:pPr>
              <w:pStyle w:val="ListParagraph"/>
              <w:numPr>
                <w:ilvl w:val="0"/>
                <w:numId w:val="18"/>
              </w:numPr>
            </w:pPr>
            <w:r>
              <w:rPr/>
              <w:t xml:space="preserve">de totale loonkost</w:t>
            </w:r>
          </w:p>
          <w:p>
            <w:r>
              <w:rPr/>
              <w:t xml:space="preserve"> </w:t>
              <w:br/>
              <w:t xml:space="preserve"/>
              <w:br/>
              <w:t xml:space="preserve">de elementen van de factuur van een sociaal secretariaat herkennen en benoemen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de bezoldigingen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btw-registratie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btw-verrekening registreren door de volgende btw-rekeningen te gebruiken:</w:t>
            </w:r>
          </w:p>
          <w:p>
            <w:pPr>
              <w:pStyle w:val="ListParagraph"/>
              <w:numPr>
                <w:ilvl w:val="0"/>
                <w:numId w:val="19"/>
              </w:numPr>
            </w:pPr>
            <w:r>
              <w:rPr/>
              <w:t xml:space="preserve">41110 Aftrekbare btw</w:t>
            </w:r>
          </w:p>
          <w:p>
            <w:pPr>
              <w:pStyle w:val="ListParagraph"/>
              <w:numPr>
                <w:ilvl w:val="0"/>
                <w:numId w:val="19"/>
              </w:numPr>
            </w:pPr>
            <w:r>
              <w:rPr/>
              <w:t xml:space="preserve">41120 Aftrekbare btw op uitgaande creditnota’s</w:t>
            </w:r>
          </w:p>
          <w:p>
            <w:pPr>
              <w:pStyle w:val="ListParagraph"/>
              <w:numPr>
                <w:ilvl w:val="0"/>
                <w:numId w:val="19"/>
              </w:numPr>
            </w:pPr>
            <w:r>
              <w:rPr/>
              <w:t xml:space="preserve">45110 Verschuldigde btw</w:t>
            </w:r>
          </w:p>
          <w:p>
            <w:pPr>
              <w:pStyle w:val="ListParagraph"/>
              <w:numPr>
                <w:ilvl w:val="0"/>
                <w:numId w:val="19"/>
              </w:numPr>
            </w:pPr>
            <w:r>
              <w:rPr/>
              <w:t xml:space="preserve">45120 Verschuldigde btw op inkomende creditnota’s</w:t>
            </w:r>
          </w:p>
          <w:p>
            <w:pPr>
              <w:pStyle w:val="ListParagraph"/>
              <w:numPr>
                <w:ilvl w:val="0"/>
                <w:numId w:val="19"/>
              </w:numPr>
            </w:pPr>
            <w:r>
              <w:rPr/>
              <w:t xml:space="preserve">45130 Verschuldigde btw wegens intracommunautaire verwerving</w:t>
            </w:r>
          </w:p>
          <w:p>
            <w:pPr>
              <w:pStyle w:val="ListParagraph"/>
              <w:numPr>
                <w:ilvl w:val="0"/>
                <w:numId w:val="19"/>
              </w:numPr>
            </w:pPr>
            <w:r>
              <w:rPr/>
              <w:t xml:space="preserve">45140 Verschuldigde btw wegens invoer met verlegging</w:t>
            </w:r>
          </w:p>
          <w:p>
            <w:pPr>
              <w:pStyle w:val="ListParagraph"/>
              <w:numPr>
                <w:ilvl w:val="0"/>
                <w:numId w:val="19"/>
              </w:numPr>
            </w:pPr>
            <w:r>
              <w:rPr/>
              <w:t xml:space="preserve">45150 Verschuldigde btw wegens medecontractant</w:t>
            </w:r>
          </w:p>
          <w:p>
            <w:pPr>
              <w:pStyle w:val="ListParagraph"/>
              <w:numPr>
                <w:ilvl w:val="0"/>
                <w:numId w:val="19"/>
              </w:numPr>
            </w:pPr>
            <w:r>
              <w:rPr/>
              <w:t xml:space="preserve">41100 Terug te vorderen btw</w:t>
            </w:r>
          </w:p>
          <w:p>
            <w:pPr>
              <w:pStyle w:val="ListParagraph"/>
              <w:numPr>
                <w:ilvl w:val="0"/>
                <w:numId w:val="19"/>
              </w:numPr>
            </w:pPr>
            <w:r>
              <w:rPr/>
              <w:t xml:space="preserve">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0"/>
              </w:numPr>
            </w:pPr>
            <w:r>
              <w:rPr/>
              <w:t xml:space="preserve">btw aangifte</w:t>
            </w:r>
          </w:p>
          <w:p>
            <w:pPr>
              <w:pStyle w:val="ListParagraph"/>
              <w:numPr>
                <w:ilvl w:val="0"/>
                <w:numId w:val="20"/>
              </w:numPr>
            </w:pPr>
            <w:r>
              <w:rPr/>
              <w:t xml:space="preserve">klantenlisting</w:t>
            </w:r>
          </w:p>
          <w:p>
            <w:pPr>
              <w:pStyle w:val="ListParagraph"/>
              <w:numPr>
                <w:ilvl w:val="0"/>
                <w:numId w:val="20"/>
              </w:numPr>
            </w:pPr>
            <w:r>
              <w:rPr/>
              <w:t xml:space="preserve">intracommunautaire opgave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btw-aangifte invullen</w:t>
              <w:br/>
              <w:t xml:space="preserve"/>
              <w:br/>
              <w:t xml:space="preserve">het doel van de jaarlijkse klantenlisting verklaren</w:t>
              <w:br/>
              <w:t xml:space="preserve"/>
              <w:br/>
              <w:t xml:space="preserve">het doel van de trimestriële intracommunautaire opgave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bedrag van de jaarlijkse afschrijving berekenen volgens de lineaire en degressieve afschrijvingsmethode rekening houdend met de restwaarde</w:t>
              <w:br/>
              <w:t xml:space="preserve"/>
              <w:br/>
              <w:t xml:space="preserve">de jaarlijkse afschrijving, de gecumuleerde afschrijvingen en de huidige boekwaarde berekenen in een afschrijvingstabel volgens de lineaire en degressieve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 van een verkocht vast actief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 van een verkocht vast actief met of zonder niet-recurrente bedrijfskost of -opbrengst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voorraadwijziging registreren</w:t>
              <w:br/>
              <w:t xml:space="preserve"/>
              <w:br/>
              <w:t xml:space="preserve">de invloed van de voorraadwijziging op het bedrijfsresultaat verklaren</w:t>
              <w:br/>
              <w:t xml:space="preserve"/>
              <w:br/>
              <w:t xml:space="preserve">de kostprijs van de verkochte goederen afleiden uit de rekeningen 70400 Verkopen handelsgoederen, 60400 Aankopen handelsgoederen en 60940 Voorraadwijziging handelsgoederen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overlopende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deel van kosten en opbrengsten dat behoort tot het resultaat van het huidig boekjaar berekenen</w:t>
              <w:br/>
              <w:t xml:space="preserve"/>
              <w:br/>
              <w:t xml:space="preserve">het juiste deel van de kosten en opbrengsten toewijzen aan het resultaat van het huidige of het volgende boekjaar en dit registreren door overlopende rekeningen te gebruiken:</w:t>
              <w:br/>
              <w:t xml:space="preserve"/>
              <w:br/>
              <w:t xml:space="preserve"/>
            </w:r>
          </w:p>
          <w:p>
            <w:pPr>
              <w:pStyle w:val="ListParagraph"/>
              <w:numPr>
                <w:ilvl w:val="0"/>
                <w:numId w:val="21"/>
              </w:numPr>
            </w:pPr>
            <w:r>
              <w:rPr/>
              <w:t xml:space="preserve">49000 Over te dragen kosten</w:t>
            </w:r>
          </w:p>
          <w:p>
            <w:pPr>
              <w:pStyle w:val="ListParagraph"/>
              <w:numPr>
                <w:ilvl w:val="0"/>
                <w:numId w:val="21"/>
              </w:numPr>
            </w:pPr>
            <w:r>
              <w:rPr/>
              <w:t xml:space="preserve">49100 Verkregen opbrengsten</w:t>
            </w:r>
          </w:p>
          <w:p>
            <w:pPr>
              <w:pStyle w:val="ListParagraph"/>
              <w:numPr>
                <w:ilvl w:val="0"/>
                <w:numId w:val="21"/>
              </w:numPr>
            </w:pPr>
            <w:r>
              <w:rPr/>
              <w:t xml:space="preserve">49200 Toe te rekenen kosten</w:t>
            </w:r>
          </w:p>
          <w:p>
            <w:pPr>
              <w:pStyle w:val="ListParagraph"/>
              <w:numPr>
                <w:ilvl w:val="0"/>
                <w:numId w:val="21"/>
              </w:numPr>
            </w:pPr>
            <w:r>
              <w:rPr/>
              <w:t xml:space="preserve">49300 Over te dragen opbrengsten</w:t>
            </w:r>
          </w:p>
          <w:p>
            <w:r>
              <w:rPr/>
              <w:t xml:space="preserve"> </w:t>
              <w:br/>
              <w:t xml:space="preserve"/>
              <w:br/>
              <w:t xml:space="preserve">de kost van reeds ontvangen handelsgoederen, waarvoor nog geen aankoopfactuur werd ontvangen, registreren via de rekeningen:</w:t>
              <w:br/>
              <w:t xml:space="preserve"/>
              <w:br/>
              <w:t xml:space="preserve"/>
            </w:r>
          </w:p>
          <w:p>
            <w:pPr>
              <w:pStyle w:val="ListParagraph"/>
              <w:numPr>
                <w:ilvl w:val="0"/>
                <w:numId w:val="22"/>
              </w:numPr>
            </w:pPr>
            <w:r>
              <w:rPr/>
              <w:t xml:space="preserve">44400 Te ontvangen facturen en</w:t>
            </w:r>
          </w:p>
          <w:p>
            <w:pPr>
              <w:pStyle w:val="ListParagraph"/>
              <w:numPr>
                <w:ilvl w:val="0"/>
                <w:numId w:val="22"/>
              </w:numPr>
            </w:pPr>
            <w:r>
              <w:rPr/>
              <w:t xml:space="preserve">44410 Te ontvangen creditnota’s’</w:t>
            </w:r>
          </w:p>
          <w:p>
            <w:r>
              <w:rPr/>
              <w:t xml:space="preserve"> </w:t>
              <w:br/>
              <w:t xml:space="preserve"/>
              <w:br/>
              <w:t xml:space="preserve">de opbrengst van reeds geleverde handelsgoederen, waarvoor nog geen verkoopfactuur werd gemaakt ,registreren via de rekeningen: </w:t>
            </w:r>
          </w:p>
          <w:p>
            <w:pPr>
              <w:pStyle w:val="ListParagraph"/>
              <w:numPr>
                <w:ilvl w:val="0"/>
                <w:numId w:val="23"/>
              </w:numPr>
            </w:pPr>
            <w:r>
              <w:rPr/>
              <w:t xml:space="preserve">40400 Te innen opbrengsten en</w:t>
            </w:r>
          </w:p>
          <w:p>
            <w:pPr>
              <w:pStyle w:val="ListParagraph"/>
              <w:numPr>
                <w:ilvl w:val="0"/>
                <w:numId w:val="23"/>
              </w:numPr>
            </w:pPr>
            <w:r>
              <w:rPr/>
              <w:t xml:space="preserve">40410 Op te maken creditnota’s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resultaat vóór belastingen berekenen</w:t>
              <w:br/>
              <w:t xml:space="preserve"/>
              <w:br/>
              <w:t xml:space="preserve">het definitief resultaat berekenen (let op: nieuwe boekhoudwetgeving - zie bijlage)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toevoeging van het overgedragen resultaat van het vorig boekjaar naar het resultaat van het huidig boekjaar registreren</w:t>
              <w:br/>
              <w:t xml:space="preserve"/>
              <w:br/>
              <w:t xml:space="preserve">aan de hand van een cijfervoorbeeld het te bestemmen resultaat uitsplitsen volgens aard van de bestemming in:</w:t>
              <w:br/>
              <w:t xml:space="preserve"/>
              <w:br/>
              <w:t xml:space="preserve"/>
            </w:r>
          </w:p>
          <w:p>
            <w:pPr>
              <w:pStyle w:val="ListParagraph"/>
              <w:numPr>
                <w:ilvl w:val="0"/>
                <w:numId w:val="24"/>
              </w:numPr>
            </w:pPr>
            <w:r>
              <w:rPr/>
              <w:t xml:space="preserve">wettelijke en overige reserves</w:t>
            </w:r>
          </w:p>
          <w:p>
            <w:pPr>
              <w:pStyle w:val="ListParagraph"/>
              <w:numPr>
                <w:ilvl w:val="0"/>
                <w:numId w:val="24"/>
              </w:numPr>
            </w:pPr>
            <w:r>
              <w:rPr/>
              <w:t xml:space="preserve">vergoeding van kapitaal</w:t>
            </w:r>
          </w:p>
          <w:p>
            <w:pPr>
              <w:pStyle w:val="ListParagraph"/>
              <w:numPr>
                <w:ilvl w:val="0"/>
                <w:numId w:val="24"/>
              </w:numPr>
            </w:pPr>
            <w:r>
              <w:rPr/>
              <w:t xml:space="preserve">bestuurders of zaakvoerders</w:t>
            </w:r>
          </w:p>
          <w:p>
            <w:pPr>
              <w:pStyle w:val="ListParagraph"/>
              <w:numPr>
                <w:ilvl w:val="0"/>
                <w:numId w:val="24"/>
              </w:numPr>
            </w:pPr>
            <w:r>
              <w:rPr/>
              <w:t xml:space="preserve">overdracht naar volgend boekjaar</w:t>
            </w:r>
          </w:p>
          <w:p>
            <w:r>
              <w:rPr/>
              <w:t xml:space="preserve"> </w:t>
              <w:br/>
              <w:t xml:space="preserve"/>
              <w:br/>
              <w:t xml:space="preserve">de opgegeven bestemming van het resultaat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verklaren</w:t>
              <w:br/>
              <w:t xml:space="preserve"/>
              <w:br/>
              <w:t xml:space="preserve">uit het grootboek, na de regularisatieboekingen en de overheveling van het resultaat, de definitieve proef- en saldibalans opmaken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balans en resultatenrekening invullen aan de hand van een definitieve proef- en saldibalans</w:t>
              <w:br/>
              <w:t xml:space="preserve"/>
              <w:b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oprichtingskosten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oprichtingskosten definiëren</w:t>
              <w:br/>
              <w:t xml:space="preserve"/>
              <w:br/>
              <w:t xml:space="preserve">de oprichtingskosten in een gegeven case herkennen</w:t>
              <w:br/>
              <w:t xml:space="preserve"/>
              <w:br/>
              <w:t xml:space="preserve">de oprichtingskosten situeren in het MAR en in de jaarrekening (volgens nieuwe boekhoudwetgeving: niet meer onder de vaste activa!)</w:t>
              <w:br/>
              <w:t xml:space="preserve"/>
              <w:br/>
              <w:t xml:space="preserve">de facturen die verband houden met de oprichting of uitbreiding van de onderneming registreren</w:t>
              <w:br/>
              <w:t xml:space="preserve"/>
              <w:br/>
              <w:t xml:space="preserve">de afschrijving van oprichtingskosten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immateriële vaste activa indelen in de juiste groep:</w:t>
              <w:br/>
              <w:t xml:space="preserve"/>
              <w:br/>
              <w:t xml:space="preserve"/>
            </w:r>
          </w:p>
          <w:p>
            <w:pPr>
              <w:pStyle w:val="ListParagraph"/>
              <w:numPr>
                <w:ilvl w:val="0"/>
                <w:numId w:val="25"/>
              </w:numPr>
            </w:pPr>
            <w:r>
              <w:rPr/>
              <w:t xml:space="preserve">Kosten van onderzoek en ontwikkeling</w:t>
            </w:r>
          </w:p>
          <w:p>
            <w:pPr>
              <w:pStyle w:val="ListParagraph"/>
              <w:numPr>
                <w:ilvl w:val="0"/>
                <w:numId w:val="25"/>
              </w:numPr>
            </w:pPr>
            <w:r>
              <w:rPr/>
              <w:t xml:space="preserve">Concessies, octrooien, licenties, knowhow, merken en</w:t>
            </w:r>
          </w:p>
          <w:p>
            <w:pPr>
              <w:pStyle w:val="ListParagraph"/>
              <w:numPr>
                <w:ilvl w:val="0"/>
                <w:numId w:val="25"/>
              </w:numPr>
            </w:pPr>
            <w:r>
              <w:rPr/>
              <w:t xml:space="preserve">Goodwill</w:t>
            </w:r>
          </w:p>
          <w:p>
            <w:r>
              <w:rPr/>
              <w:t xml:space="preserve"> </w:t>
              <w:br/>
              <w:t xml:space="preserve"/>
              <w:br/>
              <w:t xml:space="preserve">de immateriële vaste activa situeren in het MAR en in de jaarrekening</w:t>
              <w:br/>
              <w:t xml:space="preserve"/>
              <w:br/>
              <w:t xml:space="preserve">de aankoopfactuur van immateriële vaste activa registreren</w:t>
              <w:br/>
              <w:t xml:space="preserve"/>
              <w:br/>
              <w:t xml:space="preserve">de afschrijving van immateriële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aanschaffingswaarde van een materieel vast actief bepalen met inbegrip van aankoop-, installatie- en uitbreidings- of verbeteringskosten</w:t>
              <w:br/>
              <w:t xml:space="preserve"/>
              <w:br/>
              <w:t xml:space="preserve">de begrippen 'werken in onroerende staat’ en 'btw-medecontractant’ toepassen in een gegeven situatie</w:t>
              <w:br/>
              <w:t xml:space="preserve"/>
              <w:br/>
              <w:t xml:space="preserve">een aankoopfactuur met btw-medecontractant registreren</w:t>
              <w:br/>
              <w:t xml:space="preserve"/>
              <w:br/>
              <w:t xml:space="preserve">de afschrijvingstabel van materiële vaste activa volgens de lineaire en degressieve methode opstellen en de jaarlijkse afschrijvingen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aandelen in de eigen onderneming (kapitaal) en in andere ondernemingen (belegging in financiële vaste activa) herkennen in een opgegeven situatie</w:t>
              <w:br/>
              <w:t xml:space="preserve"/>
              <w:br/>
              <w:t xml:space="preserve">de financiële vaste activa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meer dan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meer dan 1 jaar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ten hoogste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ten hoogste 1 jaar situeren in het MAR en in de jaarrekening</w:t>
              <w:br/>
              <w:t xml:space="preserve"/>
              <w:br/>
              <w:t xml:space="preserve">het ontstaan en innen van vorderingen op ten hoogste 1 jaar registreren</w:t>
              <w:br/>
              <w:t xml:space="preserve"/>
              <w:br/>
              <w:t xml:space="preserve">het verloop van dubieuze vorderingen registreren:</w:t>
            </w:r>
          </w:p>
          <w:p>
            <w:pPr>
              <w:pStyle w:val="ListParagraph"/>
              <w:numPr>
                <w:ilvl w:val="0"/>
                <w:numId w:val="26"/>
              </w:numPr>
            </w:pPr>
            <w:r>
              <w:rPr/>
              <w:t xml:space="preserve">ontstaan</w:t>
            </w:r>
          </w:p>
          <w:p>
            <w:pPr>
              <w:pStyle w:val="ListParagraph"/>
              <w:numPr>
                <w:ilvl w:val="0"/>
                <w:numId w:val="26"/>
              </w:numPr>
            </w:pPr>
            <w:r>
              <w:rPr/>
              <w:t xml:space="preserve">waardevermindering</w:t>
            </w:r>
          </w:p>
          <w:p>
            <w:pPr>
              <w:pStyle w:val="ListParagraph"/>
              <w:numPr>
                <w:ilvl w:val="0"/>
                <w:numId w:val="26"/>
              </w:numPr>
            </w:pPr>
            <w:r>
              <w:rPr/>
              <w:t xml:space="preserve">realisatie van de vordering met minderwaarde of meerwaarde (recurrente kost of opbrengst!)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op een voorraadrekening verklaren</w:t>
              <w:br/>
              <w:t xml:space="preserve"/>
              <w:br/>
              <w:t xml:space="preserve">aan de hand van voorbeelden de voorraden indelen in:</w:t>
              <w:br/>
              <w:t xml:space="preserve"/>
              <w:br/>
              <w:t xml:space="preserve"/>
            </w:r>
          </w:p>
          <w:p>
            <w:pPr>
              <w:pStyle w:val="ListParagraph"/>
              <w:numPr>
                <w:ilvl w:val="0"/>
                <w:numId w:val="27"/>
              </w:numPr>
            </w:pPr>
            <w:r>
              <w:rPr/>
              <w:t xml:space="preserve">grondstoffen</w:t>
            </w:r>
          </w:p>
          <w:p>
            <w:pPr>
              <w:pStyle w:val="ListParagraph"/>
              <w:numPr>
                <w:ilvl w:val="0"/>
                <w:numId w:val="27"/>
              </w:numPr>
            </w:pPr>
            <w:r>
              <w:rPr/>
              <w:t xml:space="preserve">hulpstoffen</w:t>
            </w:r>
          </w:p>
          <w:p>
            <w:pPr>
              <w:pStyle w:val="ListParagraph"/>
              <w:numPr>
                <w:ilvl w:val="0"/>
                <w:numId w:val="27"/>
              </w:numPr>
            </w:pPr>
            <w:r>
              <w:rPr/>
              <w:t xml:space="preserve">goederen in bewerking</w:t>
            </w:r>
          </w:p>
          <w:p>
            <w:pPr>
              <w:pStyle w:val="ListParagraph"/>
              <w:numPr>
                <w:ilvl w:val="0"/>
                <w:numId w:val="27"/>
              </w:numPr>
            </w:pPr>
            <w:r>
              <w:rPr/>
              <w:t xml:space="preserve">gereed product</w:t>
            </w:r>
          </w:p>
          <w:p>
            <w:pPr>
              <w:pStyle w:val="ListParagraph"/>
              <w:numPr>
                <w:ilvl w:val="0"/>
                <w:numId w:val="27"/>
              </w:numPr>
            </w:pPr>
            <w:r>
              <w:rPr/>
              <w:t xml:space="preserve">handelsgoederen</w:t>
            </w:r>
          </w:p>
          <w:p>
            <w:r>
              <w:rPr/>
              <w:t xml:space="preserve"> </w:t>
              <w:br/>
              <w:t xml:space="preserve"/>
              <w:br/>
              <w:t xml:space="preserve">de waarde van de eindvoorraad handelsgoederen berekenen aan de hand van verschillende waarderingsmethodes:</w:t>
              <w:br/>
              <w:t xml:space="preserve"/>
              <w:br/>
              <w:t xml:space="preserve"/>
            </w:r>
          </w:p>
          <w:p>
            <w:pPr>
              <w:pStyle w:val="ListParagraph"/>
              <w:numPr>
                <w:ilvl w:val="0"/>
                <w:numId w:val="28"/>
              </w:numPr>
            </w:pPr>
            <w:r>
              <w:rPr/>
              <w:t xml:space="preserve">FIFO</w:t>
            </w:r>
          </w:p>
          <w:p>
            <w:pPr>
              <w:pStyle w:val="ListParagraph"/>
              <w:numPr>
                <w:ilvl w:val="0"/>
                <w:numId w:val="28"/>
              </w:numPr>
            </w:pPr>
            <w:r>
              <w:rPr/>
              <w:t xml:space="preserve">LIFO</w:t>
            </w:r>
          </w:p>
          <w:p>
            <w:pPr>
              <w:pStyle w:val="ListParagraph"/>
              <w:numPr>
                <w:ilvl w:val="0"/>
                <w:numId w:val="28"/>
              </w:numPr>
            </w:pPr>
            <w:r>
              <w:rPr/>
              <w:t xml:space="preserve">gewogen gemiddelde</w:t>
            </w:r>
          </w:p>
          <w:p>
            <w:pPr>
              <w:pStyle w:val="ListParagraph"/>
              <w:numPr>
                <w:ilvl w:val="0"/>
                <w:numId w:val="28"/>
              </w:numPr>
            </w:pPr>
            <w:r>
              <w:rPr/>
              <w:t xml:space="preserve">marktwaarde</w:t>
            </w:r>
          </w:p>
          <w:p>
            <w:r>
              <w:rPr/>
              <w:t xml:space="preserve"> </w:t>
              <w:br/>
              <w:t xml:space="preserve"/>
              <w:br/>
              <w:t xml:space="preserve">de juiste waarde voor de eindvoorraad handelsgoederen kiezen</w:t>
              <w:br/>
              <w:t xml:space="preserve"/>
              <w:br/>
              <w:t xml:space="preserve">de voorraadwijziging registreren</w:t>
              <w:br/>
              <w:t xml:space="preserve"/>
              <w:br/>
              <w:t xml:space="preserve">de waardevermindering op een voorraad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geldbeleggingen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geldbeleggingen of termijndeposito’s situeren in het MAR en in de jaarrekening</w:t>
              <w:br/>
              <w:t xml:space="preserve"/>
              <w:br/>
              <w:t xml:space="preserve">de verwerving van geldbeleggingen of termijndeposito’s registreren</w:t>
              <w:br/>
              <w:t xml:space="preserve"/>
              <w:br/>
              <w:t xml:space="preserve">de opbrengsten uit geldbeleggingen of intresten op termijndeposito’s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passiefzijde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 10000 Kapitaal bij de oprichting van een eenmanszaak gebruiken</w:t>
              <w:br/>
              <w:t xml:space="preserve"/>
              <w:br/>
              <w:t xml:space="preserve">het gebruik van de rekening 48900 Schulden aan de eigenaar in een eenmanszaak verklaren</w:t>
              <w:br/>
              <w:t xml:space="preserve"/>
              <w:br/>
              <w:t xml:space="preserve">het kapitaal bij de oprichting van een vennootschap opdelen in 10000 Geplaatst kapitaal en 10100 Niet-opgevraagd kapitaal</w:t>
              <w:br/>
              <w:t xml:space="preserve"/>
              <w:br/>
              <w:t xml:space="preserve">de betekenis van een saldo op de rekeningen 10000 Geplaatst kapitaal en 10100 Niet-opgevraagd kapitaal in de boekhouding van een vennootschap verklaren</w:t>
              <w:br/>
              <w:t xml:space="preserve"/>
              <w:br/>
              <w:t xml:space="preserve">de kapitaalrekeningen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herwaarderingsmeerwaarden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herwaarderingsmeerwaarde definiëren</w:t>
              <w:br/>
              <w:t xml:space="preserve"/>
              <w:br/>
              <w:t xml:space="preserve">de herwaarderingsmeerwaarden indelen en illustreren met voorbeelden:</w:t>
              <w:br/>
              <w:t xml:space="preserve"/>
              <w:br/>
              <w:t xml:space="preserve"/>
            </w:r>
          </w:p>
          <w:p>
            <w:pPr>
              <w:pStyle w:val="ListParagraph"/>
              <w:numPr>
                <w:ilvl w:val="0"/>
                <w:numId w:val="29"/>
              </w:numPr>
            </w:pPr>
            <w:r>
              <w:rPr/>
              <w:t xml:space="preserve">op immateriële vaste activa</w:t>
            </w:r>
          </w:p>
          <w:p>
            <w:pPr>
              <w:pStyle w:val="ListParagraph"/>
              <w:numPr>
                <w:ilvl w:val="0"/>
                <w:numId w:val="29"/>
              </w:numPr>
            </w:pPr>
            <w:r>
              <w:rPr/>
              <w:t xml:space="preserve">op materiële vaste activa</w:t>
            </w:r>
          </w:p>
          <w:p>
            <w:pPr>
              <w:pStyle w:val="ListParagraph"/>
              <w:numPr>
                <w:ilvl w:val="0"/>
                <w:numId w:val="29"/>
              </w:numPr>
            </w:pPr>
            <w:r>
              <w:rPr/>
              <w:t xml:space="preserve">op voorraden</w:t>
            </w:r>
          </w:p>
          <w:p>
            <w:r>
              <w:rPr/>
              <w:t xml:space="preserve"> </w:t>
              <w:br/>
              <w:t xml:space="preserve"/>
              <w:br/>
              <w:t xml:space="preserve">de herwaarderingsmeerwaarden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reserves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reserves definiëren</w:t>
              <w:br/>
              <w:t xml:space="preserve"/>
              <w:br/>
              <w:t xml:space="preserve">de soorten reserves indelen en illustreren met voorbeelden</w:t>
              <w:br/>
              <w:t xml:space="preserve"/>
              <w:br/>
              <w:t xml:space="preserve">de reserves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overgedragen winst of verlies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overgedragen winst of verlies verklaren</w:t>
              <w:br/>
              <w:t xml:space="preserve"/>
              <w:br/>
              <w:t xml:space="preserve">de overgedragen winst of verlies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voorzieningen voor risico's en 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voorzieningen voor risico’s en kosten verklaren</w:t>
              <w:br/>
              <w:t xml:space="preserve"/>
              <w:br/>
              <w:t xml:space="preserve">de indeling van voorzieningen illustreren via voorbeelden</w:t>
              <w:br/>
              <w:t xml:space="preserve"/>
              <w:br/>
              <w:t xml:space="preserve">de voorzieningen situeren in het MAR en in de jaarrekening</w:t>
              <w:br/>
              <w:t xml:space="preserve"/>
              <w:br/>
              <w:t xml:space="preserve">het aanleggen van een voorziening voor grote herstellings- en onderhoudswerken registreren</w:t>
              <w:br/>
              <w:t xml:space="preserve"/>
              <w:br/>
              <w:t xml:space="preserve">het aanwenden van een voorziening voor grote herstellings- en onderhoudswerken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meer dan 1 jaar indelen en illustreren met voorbeelden</w:t>
              <w:br/>
              <w:t xml:space="preserve"/>
              <w:br/>
              <w:t xml:space="preserve">het gebruik van enkele vormen van schulden op meer dan 1 jaar verklaren :leasingschuld, hypothecaire lening, investeringslening, schuld aan kredietinstellingen</w:t>
              <w:br/>
              <w:t xml:space="preserve"/>
              <w:br/>
              <w:t xml:space="preserve">schulden op meer dan 1 jaar situeren in het MAR en in de jaarrekening</w:t>
              <w:br/>
              <w:t xml:space="preserve"/>
              <w:br/>
              <w:t xml:space="preserve">de verschillende stappen in de levensloop van een lening registreren:</w:t>
              <w:br/>
              <w:t xml:space="preserve"/>
              <w:br/>
              <w:t xml:space="preserve"/>
            </w:r>
          </w:p>
          <w:p>
            <w:pPr>
              <w:pStyle w:val="ListParagraph"/>
              <w:numPr>
                <w:ilvl w:val="0"/>
                <w:numId w:val="30"/>
              </w:numPr>
            </w:pPr>
            <w:r>
              <w:rPr/>
              <w:t xml:space="preserve">aangaan van de lening</w:t>
            </w:r>
          </w:p>
          <w:p>
            <w:pPr>
              <w:pStyle w:val="ListParagraph"/>
              <w:numPr>
                <w:ilvl w:val="0"/>
                <w:numId w:val="30"/>
              </w:numPr>
            </w:pPr>
            <w:r>
              <w:rPr/>
              <w:t xml:space="preserve">kosten verbonden aan de lening</w:t>
            </w:r>
          </w:p>
          <w:p>
            <w:pPr>
              <w:pStyle w:val="ListParagraph"/>
              <w:numPr>
                <w:ilvl w:val="0"/>
                <w:numId w:val="30"/>
              </w:numPr>
            </w:pPr>
            <w:r>
              <w:rPr/>
              <w:t xml:space="preserve">overboeken van lange termijn schuld naar korte termijn schuld</w:t>
            </w:r>
          </w:p>
          <w:p>
            <w:pPr>
              <w:pStyle w:val="ListParagraph"/>
              <w:numPr>
                <w:ilvl w:val="0"/>
                <w:numId w:val="30"/>
              </w:numPr>
            </w:pPr>
            <w:r>
              <w:rPr/>
              <w:t xml:space="preserve">kapitaalaflossingen en</w:t>
            </w:r>
          </w:p>
          <w:p>
            <w:pPr>
              <w:pStyle w:val="ListParagraph"/>
              <w:numPr>
                <w:ilvl w:val="0"/>
                <w:numId w:val="30"/>
              </w:numPr>
            </w:pPr>
            <w:r>
              <w:rPr/>
              <w:t xml:space="preserve">intresten</w:t>
            </w:r>
          </w:p>
          <w:p>
            <w:r>
              <w:rPr/>
              <w:t xml:space="preserve"> </w:t>
              <w:br/>
              <w:t xml:space="preserve"/>
              <w:br/>
              <w:t xml:space="preserve">een gegeven aflossingstabel van een leningscontract gebruiken om de verrichtingen met betrekking tot die lening te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ten hoogste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minder dan 1 jaar indelen en illustreren met voorbeelden</w:t>
              <w:br/>
              <w:t xml:space="preserve"/>
              <w:br/>
              <w:t xml:space="preserve">het gebruik van enkele vormen van schulden op minder dan 1 jaar verklaren:</w:t>
              <w:br/>
              <w:t xml:space="preserve"/>
              <w:br/>
              <w:t xml:space="preserve"/>
            </w:r>
          </w:p>
          <w:p>
            <w:pPr>
              <w:pStyle w:val="ListParagraph"/>
              <w:numPr>
                <w:ilvl w:val="0"/>
                <w:numId w:val="31"/>
              </w:numPr>
            </w:pPr>
            <w:r>
              <w:rPr/>
              <w:t xml:space="preserve">leasingschulden</w:t>
            </w:r>
          </w:p>
          <w:p>
            <w:pPr>
              <w:pStyle w:val="ListParagraph"/>
              <w:numPr>
                <w:ilvl w:val="0"/>
                <w:numId w:val="31"/>
              </w:numPr>
            </w:pPr>
            <w:r>
              <w:rPr/>
              <w:t xml:space="preserve">hypothecaire lening</w:t>
            </w:r>
          </w:p>
          <w:p>
            <w:pPr>
              <w:pStyle w:val="ListParagraph"/>
              <w:numPr>
                <w:ilvl w:val="0"/>
                <w:numId w:val="31"/>
              </w:numPr>
            </w:pPr>
            <w:r>
              <w:rPr/>
              <w:t xml:space="preserve">investeringslening</w:t>
            </w:r>
          </w:p>
          <w:p>
            <w:pPr>
              <w:pStyle w:val="ListParagraph"/>
              <w:numPr>
                <w:ilvl w:val="0"/>
                <w:numId w:val="31"/>
              </w:numPr>
            </w:pPr>
            <w:r>
              <w:rPr/>
              <w:t xml:space="preserve">schuld aan kredietinstellingen</w:t>
            </w:r>
          </w:p>
          <w:p>
            <w:r>
              <w:rPr/>
              <w:t xml:space="preserve">de schulden op minder dan 1 jaar situeren in het MAR en in de jaarrekening</w:t>
              <w:br/>
              <w:t xml:space="preserve"/>
              <w:br/>
              <w:t xml:space="preserve">het ontstaan van schulden op een zichtrekening op het einde van het boekjaar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winstbelastingen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resultaat bepalen aan de hand van een gecorrigeerde saldibalans</w:t>
              <w:br/>
              <w:t xml:space="preserve"/>
              <w:br/>
              <w:t xml:space="preserve">het geraamde bedrag van de winstbelastingen berekenen aan de hand van concrete gegevens</w:t>
              <w:br/>
              <w:t xml:space="preserve"/>
              <w:br/>
              <w:t xml:space="preserve">het geraamd bedrag van de winstbelasting boekhoudkundig verwerken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jaarrekening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kaders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nieuwe boekhoudwetgeving in micro, kleine en grote vennootschappen</w:t>
              <w:br/>
              <w:t xml:space="preserve"/>
              <w:br/>
              <w:t xml:space="preserve">voor de micro, kleine en grote vennootschappen  verklaren welke soort boekhouding ze moeten voeren en welke publicatieverplichtingen ze hebben</w:t>
              <w:br/>
              <w:t xml:space="preserve"/>
              <w:br/>
              <w:t xml:space="preserve">In bijlage vind je een overzichtstabel die je ook op het examen krijgt.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inhoud van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onderdelen en de inhoud van de jaarrekening benoemen (zie Balanscentrale voor aangepaste jaarrekeningen)</w:t>
              <w:br/>
              <w:t xml:space="preserve"/>
              <w:br/>
              <w:t xml:space="preserve">het doel van de jaarrekening verklaren</w:t>
              <w:br/>
              <w:t xml:space="preserve"/>
              <w:br/>
              <w:t xml:space="preserve">het belang dat de verschillende stakeholders hebben bij inzicht in de jaarrekening verklaren</w:t>
              <w:br/>
              <w:t xml:space="preserve"/>
              <w:br/>
              <w:t xml:space="preserve">een bedrag in de balans of de resultatenrekening van een gegeven jaarrekening verklaren aan de hand van informatie uit de toelichting en/of de sociale balans</w:t>
              <w:br/>
              <w:t xml:space="preserve"/>
              <w:br/>
              <w:t xml:space="preserve">in de verschillende onderdelen van de jaarrekening courante informatie opzoeken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w:t>
      </w:r>
    </w:p>
    <w:p>
      <w:pPr>
        <w:jc w:val="both"/>
      </w:pPr>
      <w:r>
        <w:t xml:space="preserve">Balpen</w:t>
      </w:r>
    </w:p>
    <w:p>
      <w:pPr>
        <w:jc w:val="both"/>
      </w:pPr>
      <w:r>
        <w:t xml:space="preserve">Digitale rekenmachine op de computer</w:t>
      </w:r>
    </w:p>
    <w:p>
      <w:pPr>
        <w:jc w:val="both"/>
      </w:pPr>
      <w:r>
        <w:t xml:space="preserve">Bijlagen: </w:t>
      </w:r>
    </w:p>
    <w:p>
      <w:pPr>
        <w:jc w:val="both"/>
      </w:pPr>
      <w:r>
        <w:t xml:space="preserve">- veel gebruikte afkortingen</w:t>
      </w:r>
    </w:p>
    <w:p>
      <w:pPr>
        <w:jc w:val="both"/>
      </w:pPr>
      <w:r>
        <w:t xml:space="preserve">- MAR</w:t>
      </w:r>
    </w:p>
    <w:p>
      <w:pPr>
        <w:jc w:val="both"/>
      </w:pPr>
      <w:r>
        <w:t xml:space="preserve">- btw-aangifte</w:t>
      </w:r>
    </w:p>
    <w:p>
      <w:pPr>
        <w:jc w:val="both"/>
      </w:pPr>
      <w:r>
        <w:t xml:space="preserve">- indeling van ondernemingen volgens nieuwe boekhoudwetgeving</w:t>
      </w:r>
    </w:p>
    <w:p>
      <w:pPr>
        <w:jc w:val="both"/>
      </w:pPr>
      <w:r>
        <w:t xml:space="preserve">- een jaarrekening van een willekeurig bedrijf</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28 %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7 %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Passiefzjde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Jaarrekening</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br/>
              <w:t xml:space="preserve"/>
              <w:br/>
              <w:t xml:space="preserve">978-90-455-6106-6)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met BOB deel 1 en 2 (Fastré, Wintmolders)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6.2 Theorieboek (deel 10)</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6.1 Handel - BOB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