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3 bso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2006/126  2degraad en 2008/027  3degraad, 1ste en 2de leerjaar </w:t>
        <w:br/>
        <w:t>OVSG O/2/2013/169  2de graad, O/2/2013/355  3de graad, 1ste en 2de leerjaar </w:t>
        <w:br/>
        <w:t>VVKSO D/2013/7841/003  2de graad, D/2013/7841/009 3de graad, 1ste en 2de leerjaar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actiefzijde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derde graad komen in het vak Boekhouden vooral de volgende leerinhouden aan bod:</w:t>
      </w:r>
    </w:p>
    <w:p>
      <w:pPr>
        <w:pStyle w:val="ListParagraph"/>
        <w:numPr>
          <w:ilvl w:val="0"/>
          <w:numId w:val="9"/>
        </w:numPr>
      </w:pPr>
      <w:r>
        <w:rPr/>
        <w:t xml:space="preserve">verrichtingen in de loop van het boekjaar</w:t>
      </w:r>
    </w:p>
    <w:p>
      <w:pPr>
        <w:pStyle w:val="ListParagraph"/>
        <w:numPr>
          <w:ilvl w:val="0"/>
          <w:numId w:val="9"/>
        </w:numPr>
      </w:pPr>
      <w:r>
        <w:rPr/>
        <w:t xml:space="preserve">de btw verrekening</w:t>
      </w:r>
    </w:p>
    <w:p>
      <w:pPr>
        <w:pStyle w:val="ListParagraph"/>
        <w:numPr>
          <w:ilvl w:val="0"/>
          <w:numId w:val="9"/>
        </w:numPr>
      </w:pPr>
      <w:r>
        <w:rPr/>
        <w:t xml:space="preserve">enkele verrichtingen op het einde van het boekjaar</w:t>
      </w:r>
    </w:p>
    <w:p>
      <w:pPr>
        <w:pStyle w:val="ListParagraph"/>
        <w:numPr>
          <w:ilvl w:val="0"/>
          <w:numId w:val="9"/>
        </w:numPr>
      </w:pPr>
      <w:r>
        <w:rPr/>
        <w:t xml:space="preserve">aanvullende studie van enkele actiefrekeningen</w:t>
      </w:r>
    </w:p>
    <w:p>
      <w:r>
        <w:rPr/>
        <w:t xml:space="preserve"> </w:t>
      </w:r>
    </w:p>
    <w:p>
      <w:r>
        <w:rPr/>
        <w:t xml:space="preserve">In de volgende tabellen vind je wat je voor elke leerinhoud moet kennen en kunnen op het examen.</w:t>
      </w:r>
    </w:p>
    <w:p>
      <w:r>
        <w:rPr/>
        <w:t xml:space="preserve">Verderop vind je concrete leermiddelen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10"/>
        </w:numPr>
      </w:pPr>
      <w:r>
        <w:rPr/>
        <w:t xml:space="preserve">details opmerken</w:t>
      </w:r>
    </w:p>
    <w:p>
      <w:pPr>
        <w:pStyle w:val="ListParagraph"/>
        <w:numPr>
          <w:ilvl w:val="0"/>
          <w:numId w:val="10"/>
        </w:numPr>
      </w:pPr>
      <w:r>
        <w:rPr/>
        <w:t xml:space="preserve">nauwkeurig rekenen</w:t>
      </w:r>
    </w:p>
    <w:p>
      <w:pPr>
        <w:pStyle w:val="ListParagraph"/>
        <w:numPr>
          <w:ilvl w:val="0"/>
          <w:numId w:val="10"/>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boekhoudkundig registreren in :</w:t>
      </w:r>
    </w:p>
    <w:p>
      <w:pPr>
        <w:pStyle w:val="ListParagraph"/>
        <w:numPr>
          <w:ilvl w:val="0"/>
          <w:numId w:val="11"/>
        </w:numPr>
      </w:pPr>
      <w:r>
        <w:rPr/>
        <w:t xml:space="preserve">een boekhoudalgoritme,</w:t>
      </w:r>
    </w:p>
    <w:p>
      <w:pPr>
        <w:pStyle w:val="ListParagraph"/>
        <w:numPr>
          <w:ilvl w:val="0"/>
          <w:numId w:val="11"/>
        </w:numPr>
      </w:pPr>
      <w:r>
        <w:rPr/>
        <w:t xml:space="preserve">het grootboek of</w:t>
      </w:r>
    </w:p>
    <w:p>
      <w:pPr>
        <w:pStyle w:val="ListParagraph"/>
        <w:numPr>
          <w:ilvl w:val="0"/>
          <w:numId w:val="11"/>
        </w:numPr>
      </w:pPr>
      <w:r>
        <w:rPr/>
        <w:t xml:space="preserve">het journaal</w:t>
      </w:r>
    </w:p>
    <w:p>
      <w:r>
        <w:rPr/>
        <w:t xml:space="preserve"> </w:t>
      </w:r>
    </w:p>
    <w:p>
      <w:r>
        <w:rPr/>
        <w:t xml:space="preserve">2.      Voor de btw gebruiken we de volgende rekeningen:</w:t>
      </w:r>
    </w:p>
    <w:p>
      <w:pPr>
        <w:pStyle w:val="ListParagraph"/>
        <w:numPr>
          <w:ilvl w:val="0"/>
          <w:numId w:val="12"/>
        </w:numPr>
      </w:pPr>
      <w:r>
        <w:rPr/>
        <w:t xml:space="preserve">tijdens de boekingsperiode:</w:t>
      </w:r>
    </w:p>
    <w:p>
      <w:pPr>
        <w:pStyle w:val="ListParagraph"/>
        <w:numPr>
          <w:ilvl w:val="1"/>
          <w:numId w:val="12"/>
        </w:numPr>
      </w:pPr>
      <w:r>
        <w:rPr/>
        <w:t xml:space="preserve">bij een aankoopfactuur:                         41110</w:t>
      </w:r>
    </w:p>
    <w:p>
      <w:pPr>
        <w:pStyle w:val="ListParagraph"/>
        <w:numPr>
          <w:ilvl w:val="1"/>
          <w:numId w:val="12"/>
        </w:numPr>
      </w:pPr>
      <w:r>
        <w:rPr/>
        <w:t xml:space="preserve">bij een verkoopfactuur:                          45110</w:t>
      </w:r>
    </w:p>
    <w:p>
      <w:pPr>
        <w:pStyle w:val="ListParagraph"/>
        <w:numPr>
          <w:ilvl w:val="1"/>
          <w:numId w:val="12"/>
        </w:numPr>
      </w:pPr>
      <w:r>
        <w:rPr/>
        <w:t xml:space="preserve">bij een inkomende creditnota:              45120</w:t>
      </w:r>
    </w:p>
    <w:p>
      <w:pPr>
        <w:pStyle w:val="ListParagraph"/>
        <w:numPr>
          <w:ilvl w:val="1"/>
          <w:numId w:val="12"/>
        </w:numPr>
      </w:pPr>
      <w:r>
        <w:rPr/>
        <w:t xml:space="preserve">bij een uitgaande creditnota:                41120</w:t>
      </w:r>
    </w:p>
    <w:p>
      <w:pPr>
        <w:pStyle w:val="ListParagraph"/>
        <w:numPr>
          <w:ilvl w:val="0"/>
          <w:numId w:val="12"/>
        </w:numPr>
      </w:pPr>
      <w:r>
        <w:rPr/>
        <w:t xml:space="preserve">bij de btw-afrekening, één keer per kwartaal of per maand, voor de overboeking van het saldo:</w:t>
      </w:r>
    </w:p>
    <w:p>
      <w:pPr>
        <w:pStyle w:val="ListParagraph"/>
        <w:numPr>
          <w:ilvl w:val="1"/>
          <w:numId w:val="12"/>
        </w:numPr>
      </w:pPr>
      <w:r>
        <w:rPr/>
        <w:t xml:space="preserve">bij een vordering op de overheid:         41100</w:t>
      </w:r>
    </w:p>
    <w:p>
      <w:pPr>
        <w:pStyle w:val="ListParagraph"/>
        <w:numPr>
          <w:ilvl w:val="1"/>
          <w:numId w:val="12"/>
        </w:numPr>
      </w:pPr>
      <w:r>
        <w:rPr/>
        <w:t xml:space="preserve">bij een schuld aan de overheid:            45100</w:t>
      </w:r>
    </w:p>
    <w:p>
      <w:r>
        <w:rPr/>
        <w:t xml:space="preserve"> </w:t>
      </w:r>
    </w:p>
    <w:p>
      <w:r>
        <w:rPr/>
        <w:t xml:space="preserve">3.      Voor de kortingen en kosten op aan- en verkoopfacturen boeken we:</w:t>
      </w:r>
    </w:p>
    <w:p>
      <w:pPr>
        <w:pStyle w:val="ListParagraph"/>
        <w:numPr>
          <w:ilvl w:val="0"/>
          <w:numId w:val="13"/>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r>
    </w:p>
    <w:p>
      <w:r>
        <w:rPr/>
        <w:t xml:space="preserve"> </w:t>
      </w:r>
    </w:p>
    <w:p>
      <w:pPr>
        <w:pStyle w:val="ListParagraph"/>
        <w:numPr>
          <w:ilvl w:val="0"/>
          <w:numId w:val="14"/>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r>
    </w:p>
    <w:p>
      <w:r>
        <w:rPr>
          <w:b/>
        </w:rPr>
        <w:t xml:space="preserve">Tips</w:t>
      </w:r>
    </w:p>
    <w:p>
      <w:r>
        <w:rPr/>
        <w:t xml:space="preserve">Heb je in de  tweede graad een handels- of economische richting gevolgd, dan heb je voldoende basiskennis om de leerinhouden van deze vakfiche te verwerken.</w:t>
      </w:r>
    </w:p>
    <w:p>
      <w:r>
        <w:rPr/>
        <w:t xml:space="preserve">Als je vroeger echter nog nooit een economische richting hebt gevolgd, dan kan je best eerst de leerinhouden uit de vakfiche Boekhouden tweede graad Kantoor verwerken en je daarna pas verdiepen in de leerinhouden van deze vakfiche.</w:t>
      </w:r>
    </w:p>
    <w:p>
      <w:r>
        <w:rPr/>
        <w:t xml:space="preserve">We hebben daarom de vakfiche Boekhouden voor de derde graad zoveel mogelijk dezelfde indeling gegeven als de vakfiche voor de tweede graad. Zo kan je duidelijk zien waar de accenten liggen in de tweede en de derde graad.</w:t>
      </w:r>
    </w:p>
    <w:p>
      <w:r>
        <w:rPr/>
        <w:t xml:space="preserve">Wanneer je met een boekhoudpakket oefent, vergeet dan niet om steeds de onderliggende redenering bij elke boeking te maken. Je moet immers inzicht krijgen in het bedrijfseconomisch proces en niet alleen maar technieken kunnen toepassen.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balans opstellen met rubrieken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actief- en passiefrekeningen benoemen</w:t>
              <w:br/>
              <w:t xml:space="preserve"/>
              <w:br/>
              <w:t xml:space="preserve">de boekingsregels van de actief- en passiefrekeningen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de proefbalans opstellen aan de hand van grootboekrekeningen</w:t>
              <w:br/>
              <w:t xml:space="preserve"/>
              <w:br/>
              <w:t xml:space="preserve">de saldibalans opstellen aan de hand van de proefbalans</w:t>
              <w:br/>
              <w:t xml:space="preserve"/>
              <w:br/>
              <w:t xml:space="preserve">de eindbalans met rubrieken opstellen uitgaande van de saldibalans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beschrijven en toelichten</w:t>
              <w:br/>
              <w:t xml:space="preserve"/>
              <w:br/>
              <w:t xml:space="preserve">het resultaat berekenen</w:t>
              <w:br/>
              <w:t xml:space="preserve"/>
              <w:br/>
              <w:t xml:space="preserve">de resultaten groeperen in</w:t>
              <w:br/>
              <w:t xml:space="preserve"/>
              <w:br/>
              <w:t xml:space="preserve"/>
            </w:r>
          </w:p>
          <w:p>
            <w:pPr>
              <w:pStyle w:val="ListParagraph"/>
              <w:numPr>
                <w:ilvl w:val="0"/>
                <w:numId w:val="15"/>
              </w:numPr>
            </w:pPr>
            <w:r>
              <w:rPr/>
              <w:t xml:space="preserve">bedrijfsresultaten</w:t>
            </w:r>
          </w:p>
          <w:p>
            <w:pPr>
              <w:pStyle w:val="ListParagraph"/>
              <w:numPr>
                <w:ilvl w:val="0"/>
                <w:numId w:val="15"/>
              </w:numPr>
            </w:pPr>
            <w:r>
              <w:rPr/>
              <w:t xml:space="preserve">financiële resultaten</w:t>
            </w:r>
          </w:p>
          <w:p>
            <w:r>
              <w:rPr/>
              <w:t xml:space="preserve"> </w:t>
              <w:br/>
              <w:t xml:space="preserve"/>
              <w:br/>
              <w:t xml:space="preserve">het begrip resultatenrekening beschrijven</w:t>
              <w:br/>
              <w:t xml:space="preserve"/>
              <w:br/>
              <w:t xml:space="preserve">de boekingsregels voor resultatenrekeningen beschrijven</w:t>
              <w:br/>
              <w:t xml:space="preserve"/>
              <w:br/>
              <w:t xml:space="preserve">de boekingsregels voor resultatenrekeningen toepassen</w:t>
              <w:br/>
              <w:t xml:space="preserve"/>
              <w:br/>
              <w:t xml:space="preserve">resultatenrekeningen in het MAR situeren</w:t>
              <w:br/>
              <w:t xml:space="preserve"/>
              <w:br/>
              <w:t xml:space="preserve">bedrijfskosten en -opbrengsten herkennen en benoemen</w:t>
              <w:br/>
              <w:t xml:space="preserve"/>
              <w:br/>
              <w:t xml:space="preserve">financiële kosten en opbrengsten herkennen en benoemen</w:t>
              <w:br/>
              <w:t xml:space="preserve"/>
              <w:br/>
              <w:t xml:space="preserve">niet-recurrente bedrijfskosten en -opbrengsten herkennen en benoemen</w:t>
              <w:br/>
              <w:t xml:space="preserve"/>
              <w:br/>
              <w:t xml:space="preserve">niet-recurrente financiële kosten en opbrengsten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aankoopfactuur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6"/>
              </w:numPr>
            </w:pPr>
            <w:r>
              <w:rPr/>
              <w:t xml:space="preserve">aankopen van handelsgoederen</w:t>
            </w:r>
          </w:p>
          <w:p>
            <w:pPr>
              <w:pStyle w:val="ListParagraph"/>
              <w:numPr>
                <w:ilvl w:val="0"/>
                <w:numId w:val="16"/>
              </w:numPr>
            </w:pPr>
            <w:r>
              <w:rPr/>
              <w:t xml:space="preserve">aankopen van diensten en diverse goederen</w:t>
            </w:r>
          </w:p>
          <w:p>
            <w:pPr>
              <w:pStyle w:val="ListParagraph"/>
              <w:numPr>
                <w:ilvl w:val="0"/>
                <w:numId w:val="16"/>
              </w:numPr>
            </w:pPr>
            <w:r>
              <w:rPr/>
              <w:t xml:space="preserve">aankopen van vaste activa</w:t>
            </w:r>
          </w:p>
          <w:p>
            <w:r>
              <w:rPr/>
              <w:t xml:space="preserve"> </w:t>
              <w:br/>
              <w:t xml:space="preserve"/>
              <w:br/>
              <w:t xml:space="preserve">een aankoopfactuur herkennen</w:t>
              <w:br/>
              <w:t xml:space="preserve"/>
              <w:br/>
              <w:t xml:space="preserve">aankoopfacturen inclusief btw met en zonder kortingen, kosten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inkomende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inkomende creditnota herkennen</w:t>
              <w:br/>
              <w:t xml:space="preserve"/>
              <w:br/>
              <w:t xml:space="preserve">inkomende creditnota’s inclusief btw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inkomende creditnota’s verwerken met een boekhoudpakket</w:t>
              <w:br/>
              <w:t xml:space="preserve"/>
              <w:br/>
              <w:t xml:space="preserve">leveranciersadministratie bijhouden met een boekhoudpakket</w:t>
              <w:br/>
              <w:t xml:space="preserve"/>
              <w:br/>
              <w:t xml:space="preserve">de historiek van aankopen en leveranciers uit een boekhoudpakket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winkelverkopen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het totaal van de dagontvangsten de btw en de maatstaf van heffing berekenen</w:t>
              <w:br/>
              <w:t xml:space="preserve"/>
              <w:br/>
              <w:t xml:space="preserve">winkelverkopen registreren in het verkoopdagboek en in het financieel dagboek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met 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verkoopfacturen inclusief btw met en zonder kortingen, kosten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uitgaande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uitgaande creditnota’s inclusief btw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verkoopfacturen en uitgaande creditnota’s verwerken met een boekhoudpakket</w:t>
              <w:br/>
              <w:t xml:space="preserve"/>
              <w:br/>
              <w:t xml:space="preserve">klantenadministratie bijhouden met een boekhoudpakket</w:t>
              <w:br/>
              <w:t xml:space="preserve"/>
              <w:br/>
              <w:t xml:space="preserve">de historiek van verkopen en klanten uit een boekhoudpakket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betalingen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aankoopfacturen, rekening houdend met bijhorende creditnota’s, registreren</w:t>
              <w:br/>
              <w:t xml:space="preserve"/>
              <w:br/>
              <w:t xml:space="preserve">de betaling van loonvoorschot, nettoloon, nettosalaris registreren</w:t>
              <w:br/>
              <w:t xml:space="preserve"/>
              <w:br/>
              <w:t xml:space="preserve">de betaling van rsz-voorschotten en  rsz-saldo registreren</w:t>
              <w:br/>
              <w:t xml:space="preserve"/>
              <w:br/>
              <w:t xml:space="preserve">de betaling van de bedrijfsvoorheffing registreren</w:t>
              <w:br/>
              <w:t xml:space="preserve"/>
              <w:br/>
              <w:t xml:space="preserve">de betaling van het verschuldigd btw-saldo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inning van verkoopfacturen, rekening houdend met bijhorende creditnota’s, registreren</w:t>
              <w:br/>
              <w:t xml:space="preserve"/>
              <w:br/>
              <w:t xml:space="preserve">de inning van een terug te vorderen btw-saldo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interne overboekingen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rekening interne overboekingen verklaren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en inningen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loonstaat en loonkost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loonstaat voor arbeiders en bedienden relevante gegevens afleiden zoals</w:t>
              <w:br/>
              <w:t xml:space="preserve"/>
              <w:br/>
              <w:t xml:space="preserve"/>
            </w:r>
          </w:p>
          <w:p>
            <w:pPr>
              <w:pStyle w:val="ListParagraph"/>
              <w:numPr>
                <w:ilvl w:val="0"/>
                <w:numId w:val="17"/>
              </w:numPr>
            </w:pPr>
            <w:r>
              <w:rPr/>
              <w:t xml:space="preserve">het bruto- en nettoloon of-salaris</w:t>
            </w:r>
          </w:p>
          <w:p>
            <w:pPr>
              <w:pStyle w:val="ListParagraph"/>
              <w:numPr>
                <w:ilvl w:val="0"/>
                <w:numId w:val="17"/>
              </w:numPr>
            </w:pPr>
            <w:r>
              <w:rPr/>
              <w:t xml:space="preserve">de werkgevers- en werknemersbijdrage rsz</w:t>
            </w:r>
          </w:p>
          <w:p>
            <w:pPr>
              <w:pStyle w:val="ListParagraph"/>
              <w:numPr>
                <w:ilvl w:val="0"/>
                <w:numId w:val="17"/>
              </w:numPr>
            </w:pPr>
            <w:r>
              <w:rPr/>
              <w:t xml:space="preserve">de bedrijfsvoorheffing</w:t>
            </w:r>
          </w:p>
          <w:p>
            <w:pPr>
              <w:pStyle w:val="ListParagraph"/>
              <w:numPr>
                <w:ilvl w:val="0"/>
                <w:numId w:val="17"/>
              </w:numPr>
            </w:pPr>
            <w:r>
              <w:rPr/>
              <w:t xml:space="preserve">de totale loonkost</w:t>
            </w:r>
          </w:p>
          <w:p>
            <w:r>
              <w:rPr/>
              <w:t xml:space="preserve"> </w:t>
              <w:br/>
              <w:t xml:space="preserve"/>
              <w:br/>
              <w:t xml:space="preserve">de elementen van de factuur van een sociaal secretariaat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 van 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voorschotten aan arbeiders registreren</w:t>
              <w:br/>
              <w:t xml:space="preserve"/>
              <w:br/>
              <w:t xml:space="preserve">een loonstaat, zowel voor arbeiders als voor bedienden, registreren</w:t>
              <w:br/>
              <w:t xml:space="preserve"/>
              <w:br/>
              <w:t xml:space="preserve">de factuur van een sociaal secretariaat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loonadministratie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loonstaat, zowel voor arbeiders als bedienden, verwerken met een boekhoudpakket</w:t>
              <w:br/>
              <w:t xml:space="preserve"/>
              <w:br/>
              <w:t xml:space="preserve">de betaling van de voorschotten aan arbeiders en de nettolonen en –salarissen verwerken met een boekhoudpakket</w:t>
              <w:br/>
              <w:t xml:space="preserve"/>
              <w:br/>
              <w:t xml:space="preserve">de factuur van een sociaal secretariaat verwerken met een boekhoudpakket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 boekhoudkundig registreren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rekeningen die gebruikt worden voor btw op aankopen herkennen</w:t>
              <w:br/>
              <w:t xml:space="preserve"/>
              <w:br/>
              <w:t xml:space="preserve">de rekeningen die gebruikt worden voor btw op verkopen herkennen</w:t>
              <w:br/>
              <w:t xml:space="preserve"/>
              <w:br/>
              <w:t xml:space="preserve">aantonen wanneer een onderneming een btw-schuld heeft aan de btw-administratie aan de hand van een gegeven voorbeeld </w:t>
              <w:br/>
              <w:t xml:space="preserve"/>
              <w:br/>
              <w:t xml:space="preserve">aantonen wanneer een onderneming een btw-vordering heeft op de btw-administratie aan de hand van een gegeven voorbeeld </w:t>
              <w:br/>
              <w:t xml:space="preserve"/>
              <w:br/>
              <w:t xml:space="preserve">het te betalen of terug te vorderen btw-saldo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18"/>
              </w:numPr>
            </w:pPr>
            <w:r>
              <w:rPr/>
              <w:t xml:space="preserve">btw aangifte</w:t>
            </w:r>
          </w:p>
          <w:p>
            <w:pPr>
              <w:pStyle w:val="ListParagraph"/>
              <w:numPr>
                <w:ilvl w:val="0"/>
                <w:numId w:val="18"/>
              </w:numPr>
            </w:pPr>
            <w:r>
              <w:rPr/>
              <w:t xml:space="preserve">klantenlisting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eenvoudige btw-aangifte invullen</w:t>
              <w:br/>
              <w:t xml:space="preserve"/>
              <w:br/>
              <w:t xml:space="preserve">het doel van de klantenlisting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btw-aangifte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btw-aangifte uit een boekhoudpakket halen en het document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de voorlopige proefbalans opstellen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regularisatieboekingen situeren in het verloop van alle boekhoudkundige verrichtingen van een boekjaar</w:t>
              <w:br/>
              <w:t xml:space="preserve"/>
              <w:br/>
              <w:t xml:space="preserve">het doel van de regularisatieboekingen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afschrijvingen definiëren</w:t>
              <w:br/>
              <w:t xml:space="preserve"/>
              <w:br/>
              <w:t xml:space="preserve">het doel van afschrijvingen verklaren</w:t>
              <w:br/>
              <w:t xml:space="preserve"/>
              <w:br/>
              <w:t xml:space="preserve">het bedrag van de jaarlijkse afschrijving berekenen volgende de lineaire afschrijvingsmethode</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voorraadwijzigingen berekenen</w:t>
              <w:br/>
              <w:t xml:space="preserve"/>
              <w:br/>
              <w:t xml:space="preserve">de voorraadwijziging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in verband met de voorraad opzoeken via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 en</w:t>
              <w:br/>
              <w:t xml:space="preserve">de eindbalans en resultatenrekening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de definitieve saldibalans de eindbalans en de resultatenrekening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dat de eindbalans en de resultatenrekening onderdelen zijn van de jaarrekening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actiefzijde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materiële vaste activa op de balans benoemen:</w:t>
              <w:br/>
              <w:t xml:space="preserve"/>
              <w:br/>
              <w:t xml:space="preserve"/>
            </w:r>
          </w:p>
          <w:p>
            <w:pPr>
              <w:pStyle w:val="ListParagraph"/>
              <w:numPr>
                <w:ilvl w:val="0"/>
                <w:numId w:val="19"/>
              </w:numPr>
            </w:pPr>
            <w:r>
              <w:rPr/>
              <w:t xml:space="preserve">terreinen en gebouwen</w:t>
            </w:r>
          </w:p>
          <w:p>
            <w:pPr>
              <w:pStyle w:val="ListParagraph"/>
              <w:numPr>
                <w:ilvl w:val="0"/>
                <w:numId w:val="19"/>
              </w:numPr>
            </w:pPr>
            <w:r>
              <w:rPr/>
              <w:t xml:space="preserve">installaties, machines en uitrusting</w:t>
            </w:r>
          </w:p>
          <w:p>
            <w:pPr>
              <w:pStyle w:val="ListParagraph"/>
              <w:numPr>
                <w:ilvl w:val="0"/>
                <w:numId w:val="19"/>
              </w:numPr>
            </w:pPr>
            <w:r>
              <w:rPr/>
              <w:t xml:space="preserve">meubilair, computers, rollend materieel</w:t>
            </w:r>
          </w:p>
          <w:p>
            <w:r>
              <w:rPr/>
              <w:t xml:space="preserve"> </w:t>
              <w:br/>
              <w:t xml:space="preserve"/>
              <w:br/>
              <w:t xml:space="preserve">gegeven materiële vaste activa op de balans indelen in:</w:t>
              <w:br/>
              <w:t xml:space="preserve"/>
              <w:br/>
              <w:t xml:space="preserve"/>
            </w:r>
          </w:p>
          <w:p>
            <w:pPr>
              <w:pStyle w:val="ListParagraph"/>
              <w:numPr>
                <w:ilvl w:val="0"/>
                <w:numId w:val="20"/>
              </w:numPr>
            </w:pPr>
            <w:r>
              <w:rPr/>
              <w:t xml:space="preserve">terreinen en gebouwen,</w:t>
            </w:r>
          </w:p>
          <w:p>
            <w:pPr>
              <w:pStyle w:val="ListParagraph"/>
              <w:numPr>
                <w:ilvl w:val="0"/>
                <w:numId w:val="20"/>
              </w:numPr>
            </w:pPr>
            <w:r>
              <w:rPr/>
              <w:t xml:space="preserve">installaties, machines en uitrusting,</w:t>
            </w:r>
          </w:p>
          <w:p>
            <w:pPr>
              <w:pStyle w:val="ListParagraph"/>
              <w:numPr>
                <w:ilvl w:val="0"/>
                <w:numId w:val="20"/>
              </w:numPr>
            </w:pPr>
            <w:r>
              <w:rPr/>
              <w:t xml:space="preserve">meubilair, computers, rollend materieel</w:t>
            </w:r>
          </w:p>
          <w:p>
            <w:r>
              <w:rPr/>
              <w:t xml:space="preserve"> </w:t>
              <w:br/>
              <w:t xml:space="preserve"/>
              <w:br/>
              <w:t xml:space="preserve">de termen in verband met de materiële vaste activa definiëren:</w:t>
              <w:br/>
              <w:t xml:space="preserve"/>
              <w:br/>
              <w:t xml:space="preserve"/>
            </w:r>
          </w:p>
          <w:p>
            <w:pPr>
              <w:pStyle w:val="ListParagraph"/>
              <w:numPr>
                <w:ilvl w:val="0"/>
                <w:numId w:val="21"/>
              </w:numPr>
            </w:pPr>
            <w:r>
              <w:rPr/>
              <w:t xml:space="preserve">aanschaffingswaarde</w:t>
            </w:r>
          </w:p>
          <w:p>
            <w:pPr>
              <w:pStyle w:val="ListParagraph"/>
              <w:numPr>
                <w:ilvl w:val="0"/>
                <w:numId w:val="21"/>
              </w:numPr>
            </w:pPr>
            <w:r>
              <w:rPr/>
              <w:t xml:space="preserve">boekwaarde</w:t>
            </w:r>
          </w:p>
          <w:p>
            <w:pPr>
              <w:pStyle w:val="ListParagraph"/>
              <w:numPr>
                <w:ilvl w:val="0"/>
                <w:numId w:val="21"/>
              </w:numPr>
            </w:pPr>
            <w:r>
              <w:rPr/>
              <w:t xml:space="preserve">restwaarde</w:t>
            </w:r>
          </w:p>
          <w:p>
            <w:pPr>
              <w:pStyle w:val="ListParagraph"/>
              <w:numPr>
                <w:ilvl w:val="0"/>
                <w:numId w:val="21"/>
              </w:numPr>
            </w:pPr>
            <w:r>
              <w:rPr/>
              <w:t xml:space="preserve">levensduur of gebruiksduur</w:t>
            </w:r>
          </w:p>
          <w:p>
            <w:pPr>
              <w:pStyle w:val="ListParagraph"/>
              <w:numPr>
                <w:ilvl w:val="0"/>
                <w:numId w:val="21"/>
              </w:numPr>
            </w:pPr>
            <w:r>
              <w:rPr/>
              <w:t xml:space="preserve">afschrijving</w:t>
            </w:r>
          </w:p>
          <w:p>
            <w:r>
              <w:rPr/>
              <w:t xml:space="preserve"> </w:t>
              <w:br/>
              <w:t xml:space="preserve"/>
              <w:br/>
              <w:t xml:space="preserve">aan de hand van cijfermateriaal de boekwaarde, restwaarde, levensduur of gebruiksduur en afschrijvingsduur berekenen</w:t>
              <w:br/>
              <w:t xml:space="preserve"/>
              <w:br/>
              <w:t xml:space="preserve">de aankoop van roerende materiële vaste activa, inclusief btw en aankoopkosten registreren</w:t>
              <w:br/>
              <w:t xml:space="preserve"/>
              <w:br/>
              <w:t xml:space="preserve">de jaarlijkse afschrijving volgens de lineaire afschrijvingsmethode berekenen</w:t>
              <w:br/>
              <w:t xml:space="preserve"/>
              <w:br/>
              <w:t xml:space="preserve">een afschrijvingstabel invullen of aanvullen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3 btw-aangifte.pdf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6 Indeling van ondernemingen vlgs nieuwe boekhoudwetgeving.pdf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de computer</w:t>
      </w:r>
    </w:p>
    <w:p>
      <w:pPr>
        <w:jc w:val="both"/>
      </w:pPr>
      <w:r>
        <w:t xml:space="preserve">Bijlagen:</w:t>
      </w:r>
    </w:p>
    <w:p>
      <w:pPr>
        <w:jc w:val="both"/>
      </w:pPr>
      <w:r>
        <w:t xml:space="preserve">- veel gebruikte afkortingen</w:t>
      </w:r>
    </w:p>
    <w:p>
      <w:pPr>
        <w:jc w:val="both"/>
      </w:pPr>
      <w:r>
        <w:t xml:space="preserve">- MAR</w:t>
      </w:r>
    </w:p>
    <w:p>
      <w:pPr>
        <w:jc w:val="both"/>
      </w:pPr>
      <w:r>
        <w:t xml:space="preserve">- btw-aangifte</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waarin je ze kan uitproberen. Uiteraard is dit geen echt examen: de bedoeling is dat je de techniek van de digitale vraagtypes in de vingers krijgt.</w:t>
      </w:r>
    </w:p>
    <w:p>
      <w:pPr>
        <w:jc w:val="both"/>
      </w:pPr>
      <w:r>
        <w:t xml:space="preserve"/>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een boekhoudalgoritme.</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en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Basisbegrippen dubbel boekhouden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45 %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Verrichtingen in de loop van het boekjaar</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BTW</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Eindejaarsverrichtingen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Actiefzijde</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(Van Liedekerke,Walraevens)  978-90-455-6112-7</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voor het beleid  (Van Liedekerke, Walraevens) -  978-90-455-6108-0 (elfde editie) </w:t>
              <w:br/>
              <w:t xml:space="preserve"/>
              <w:br/>
              <w:t xml:space="preserve">(bevat de recentste boekhoudwetgeving  maar komt verder quasi overeen met 'Algemeen boekhouden' </w:t>
              <w:br/>
              <w:t xml:space="preserve"/>
              <w:br/>
              <w:t xml:space="preserve">978-90-455-6106-6)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4  Dubbel boekhouden</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2.1 en 2.2 en 3 Basis dubbel boekhouden</w:t>
              <w:br/>
              <w:t xml:space="preserve"/>
              <w:br/>
              <w:t xml:space="preserve">let op: dit zijn leerwerkboeken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Kringen 4: module 1 Boekhouden en facturatie met BOB-software versie 3.3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In Balans online: Boekhouden in stappen – in tweede en derde graad</w:t>
              <w:br/>
              <w:t xml:space="preserve"/>
              <w:br/>
              <w:t xml:space="preserve">Jan Debels, Pieter Dhuyvetter, Luc Van de Cruys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uitgeverij@pelckmans.be</w:t>
              <w:br/>
              <w:t xml:space="preserve"/>
              <w:br/>
              <w:t xml:space="preserve">03 / 660 27 20</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Com@min Projectboek Dubbel boekhouden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uitgeverij@pelckmans.be</w:t>
              <w:br/>
              <w:t xml:space="preserve"/>
              <w:br/>
              <w:t xml:space="preserve">03 / 660 27 20</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http://www.lexalert.be/nl/article/omzetting-boekhoudrichtlijn-belgisch-recht-het-kb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www.minfin.fgov.be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http://financien.belgium.be/nl/ondernemingen/btw/aangifte/periodieke_aangifte/verplichte_voorschotten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 met verwijzing naar de afschaffing van de voorschotten bij kwartaalaangifte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