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Alcoholen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quaternaire structuur)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